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CF47E" w14:textId="4D0F81CD" w:rsidR="00AD3E4F" w:rsidRDefault="000F4A61" w:rsidP="000F4A61">
      <w:pPr>
        <w:rPr>
          <w:szCs w:val="24"/>
        </w:rPr>
      </w:pPr>
      <w:r>
        <w:rPr>
          <w:szCs w:val="24"/>
        </w:rPr>
        <w:t xml:space="preserve">                                                                                     </w:t>
      </w:r>
      <w:r w:rsidR="00000000">
        <w:rPr>
          <w:szCs w:val="24"/>
        </w:rPr>
        <w:t>Pieno supirkimo taisyklių</w:t>
      </w:r>
    </w:p>
    <w:p w14:paraId="117C7618" w14:textId="77777777" w:rsidR="00AD3E4F" w:rsidRDefault="00000000">
      <w:pPr>
        <w:ind w:left="5102"/>
        <w:rPr>
          <w:szCs w:val="24"/>
        </w:rPr>
      </w:pPr>
      <w:r>
        <w:rPr>
          <w:szCs w:val="24"/>
        </w:rPr>
        <w:t>4 priedas</w:t>
      </w:r>
    </w:p>
    <w:p w14:paraId="6ECB34E8" w14:textId="77777777" w:rsidR="00AD3E4F" w:rsidRDefault="00AD3E4F">
      <w:pPr>
        <w:spacing w:line="360" w:lineRule="auto"/>
        <w:rPr>
          <w:szCs w:val="24"/>
        </w:rPr>
      </w:pPr>
    </w:p>
    <w:p w14:paraId="04B99F59" w14:textId="77777777" w:rsidR="00AD3E4F" w:rsidRDefault="00000000">
      <w:pPr>
        <w:spacing w:line="360" w:lineRule="auto"/>
        <w:jc w:val="center"/>
        <w:rPr>
          <w:b/>
          <w:szCs w:val="24"/>
        </w:rPr>
      </w:pPr>
      <w:r>
        <w:rPr>
          <w:b/>
          <w:szCs w:val="24"/>
        </w:rPr>
        <w:t>(Rekomenduojama pieno pirkimo</w:t>
      </w:r>
      <w:r>
        <w:rPr>
          <w:szCs w:val="24"/>
        </w:rPr>
        <w:t>–</w:t>
      </w:r>
      <w:r>
        <w:rPr>
          <w:b/>
          <w:szCs w:val="24"/>
        </w:rPr>
        <w:t>pardavimo sutarties forma)</w:t>
      </w:r>
    </w:p>
    <w:p w14:paraId="6022BE92" w14:textId="77777777" w:rsidR="00AD3E4F" w:rsidRDefault="00AD3E4F">
      <w:pPr>
        <w:spacing w:line="360" w:lineRule="auto"/>
        <w:jc w:val="both"/>
        <w:rPr>
          <w:szCs w:val="24"/>
        </w:rPr>
      </w:pPr>
    </w:p>
    <w:p w14:paraId="2FF5CB72" w14:textId="77777777" w:rsidR="00AD3E4F" w:rsidRDefault="00000000">
      <w:pPr>
        <w:jc w:val="center"/>
        <w:rPr>
          <w:b/>
          <w:szCs w:val="24"/>
        </w:rPr>
      </w:pPr>
      <w:r>
        <w:rPr>
          <w:b/>
          <w:szCs w:val="24"/>
        </w:rPr>
        <w:t>PIENO PIRKIMO-PARDAVIMO SUTARTIS</w:t>
      </w:r>
    </w:p>
    <w:p w14:paraId="038A972E" w14:textId="77777777" w:rsidR="00AD3E4F" w:rsidRDefault="00AD3E4F">
      <w:pPr>
        <w:jc w:val="both"/>
        <w:rPr>
          <w:szCs w:val="24"/>
        </w:rPr>
      </w:pPr>
    </w:p>
    <w:p w14:paraId="76D66D1D" w14:textId="77777777" w:rsidR="00AD3E4F" w:rsidRDefault="00000000">
      <w:pPr>
        <w:jc w:val="center"/>
        <w:rPr>
          <w:szCs w:val="24"/>
        </w:rPr>
      </w:pPr>
      <w:r>
        <w:rPr>
          <w:szCs w:val="24"/>
        </w:rPr>
        <w:t>_____________ Nr. __________</w:t>
      </w:r>
    </w:p>
    <w:p w14:paraId="1B24F496" w14:textId="77777777" w:rsidR="00AD3E4F" w:rsidRDefault="00000000">
      <w:pPr>
        <w:tabs>
          <w:tab w:val="left" w:pos="3840"/>
        </w:tabs>
        <w:ind w:left="-1701"/>
        <w:jc w:val="center"/>
        <w:rPr>
          <w:szCs w:val="24"/>
        </w:rPr>
      </w:pPr>
      <w:r>
        <w:rPr>
          <w:szCs w:val="24"/>
        </w:rPr>
        <w:t>(data)</w:t>
      </w:r>
    </w:p>
    <w:p w14:paraId="73C7EC7D" w14:textId="77777777" w:rsidR="00AD3E4F" w:rsidRDefault="00000000">
      <w:pPr>
        <w:jc w:val="center"/>
        <w:rPr>
          <w:szCs w:val="24"/>
        </w:rPr>
      </w:pPr>
      <w:r>
        <w:rPr>
          <w:szCs w:val="24"/>
        </w:rPr>
        <w:t>___________________________</w:t>
      </w:r>
    </w:p>
    <w:p w14:paraId="57C87AFC" w14:textId="77777777" w:rsidR="00AD3E4F" w:rsidRDefault="00000000">
      <w:pPr>
        <w:jc w:val="center"/>
        <w:rPr>
          <w:szCs w:val="24"/>
        </w:rPr>
      </w:pPr>
      <w:r>
        <w:rPr>
          <w:szCs w:val="24"/>
        </w:rPr>
        <w:t>(sudarymo vieta)</w:t>
      </w:r>
    </w:p>
    <w:p w14:paraId="4122EDE3" w14:textId="77777777" w:rsidR="00AD3E4F" w:rsidRDefault="00AD3E4F">
      <w:pPr>
        <w:tabs>
          <w:tab w:val="left" w:pos="9072"/>
        </w:tabs>
        <w:ind w:firstLine="720"/>
        <w:rPr>
          <w:szCs w:val="24"/>
        </w:rPr>
      </w:pPr>
    </w:p>
    <w:p w14:paraId="740CFD38" w14:textId="77777777" w:rsidR="00AD3E4F" w:rsidRDefault="00AD3E4F">
      <w:pPr>
        <w:tabs>
          <w:tab w:val="left" w:pos="9072"/>
        </w:tabs>
        <w:ind w:firstLine="720"/>
        <w:rPr>
          <w:szCs w:val="24"/>
        </w:rPr>
      </w:pPr>
    </w:p>
    <w:p w14:paraId="315B52CB" w14:textId="77777777" w:rsidR="00AD3E4F" w:rsidRDefault="00000000">
      <w:pPr>
        <w:tabs>
          <w:tab w:val="right" w:leader="underscore" w:pos="9356"/>
        </w:tabs>
        <w:rPr>
          <w:szCs w:val="24"/>
        </w:rPr>
      </w:pPr>
      <w:r>
        <w:rPr>
          <w:szCs w:val="24"/>
        </w:rPr>
        <w:tab/>
      </w:r>
    </w:p>
    <w:p w14:paraId="1783FC8E" w14:textId="77777777" w:rsidR="00AD3E4F" w:rsidRDefault="00000000">
      <w:pPr>
        <w:jc w:val="center"/>
        <w:rPr>
          <w:szCs w:val="24"/>
        </w:rPr>
      </w:pPr>
      <w:r>
        <w:rPr>
          <w:szCs w:val="24"/>
        </w:rPr>
        <w:t>(pieno gamintojo – fizinio asmens vardas, pavardė, asmens kodas, adresas,</w:t>
      </w:r>
    </w:p>
    <w:p w14:paraId="3D7CA003" w14:textId="77777777" w:rsidR="00AD3E4F" w:rsidRDefault="00000000">
      <w:pPr>
        <w:tabs>
          <w:tab w:val="right" w:leader="underscore" w:pos="9356"/>
        </w:tabs>
        <w:jc w:val="both"/>
        <w:rPr>
          <w:szCs w:val="24"/>
        </w:rPr>
      </w:pPr>
      <w:r>
        <w:rPr>
          <w:szCs w:val="24"/>
        </w:rPr>
        <w:tab/>
        <w:t>,</w:t>
      </w:r>
    </w:p>
    <w:p w14:paraId="7113776B" w14:textId="77777777" w:rsidR="00AD3E4F" w:rsidRDefault="00000000">
      <w:pPr>
        <w:tabs>
          <w:tab w:val="left" w:pos="1296"/>
        </w:tabs>
        <w:jc w:val="center"/>
        <w:rPr>
          <w:szCs w:val="24"/>
          <w:lang w:eastAsia="lt-LT"/>
        </w:rPr>
      </w:pPr>
      <w:r>
        <w:rPr>
          <w:szCs w:val="24"/>
          <w:lang w:eastAsia="lt-LT"/>
        </w:rPr>
        <w:t>PVM mokėtojo kodas, PVM kompensacinio tarifo gavėjo kodas arba juridinio asmens pavadinimas, įmonės kodas, buveinė ir</w:t>
      </w:r>
    </w:p>
    <w:p w14:paraId="12D92608" w14:textId="77777777" w:rsidR="00AD3E4F" w:rsidRDefault="00000000">
      <w:pPr>
        <w:tabs>
          <w:tab w:val="right" w:leader="underscore" w:pos="9356"/>
        </w:tabs>
        <w:rPr>
          <w:szCs w:val="24"/>
        </w:rPr>
      </w:pPr>
      <w:r>
        <w:rPr>
          <w:szCs w:val="24"/>
        </w:rPr>
        <w:tab/>
        <w:t>,</w:t>
      </w:r>
    </w:p>
    <w:p w14:paraId="2F94B296" w14:textId="77777777" w:rsidR="00AD3E4F" w:rsidRDefault="00000000">
      <w:pPr>
        <w:tabs>
          <w:tab w:val="left" w:pos="1296"/>
        </w:tabs>
        <w:jc w:val="center"/>
        <w:rPr>
          <w:szCs w:val="24"/>
          <w:lang w:eastAsia="lt-LT"/>
        </w:rPr>
      </w:pPr>
      <w:r>
        <w:rPr>
          <w:szCs w:val="24"/>
          <w:lang w:eastAsia="lt-LT"/>
        </w:rPr>
        <w:t>įmonės PVM mokėtojos kodas)</w:t>
      </w:r>
    </w:p>
    <w:p w14:paraId="7693E860" w14:textId="77777777" w:rsidR="00AD3E4F" w:rsidRDefault="00000000">
      <w:pPr>
        <w:tabs>
          <w:tab w:val="right" w:leader="underscore" w:pos="9356"/>
        </w:tabs>
        <w:rPr>
          <w:szCs w:val="24"/>
        </w:rPr>
      </w:pPr>
      <w:r>
        <w:rPr>
          <w:szCs w:val="24"/>
        </w:rPr>
        <w:t xml:space="preserve">toliau vadinamas Pardavėju, atstovaujamas </w:t>
      </w:r>
      <w:r>
        <w:rPr>
          <w:szCs w:val="24"/>
        </w:rPr>
        <w:tab/>
      </w:r>
    </w:p>
    <w:p w14:paraId="23469A72" w14:textId="77777777" w:rsidR="00AD3E4F" w:rsidRDefault="00000000">
      <w:pPr>
        <w:tabs>
          <w:tab w:val="left" w:pos="5760"/>
          <w:tab w:val="left" w:pos="9072"/>
        </w:tabs>
        <w:ind w:firstLine="5760"/>
        <w:rPr>
          <w:szCs w:val="24"/>
        </w:rPr>
      </w:pPr>
      <w:r>
        <w:rPr>
          <w:szCs w:val="24"/>
        </w:rPr>
        <w:t>(atstovo pareigos,</w:t>
      </w:r>
    </w:p>
    <w:p w14:paraId="669FCCB9" w14:textId="77777777" w:rsidR="00AD3E4F" w:rsidRDefault="00000000">
      <w:pPr>
        <w:tabs>
          <w:tab w:val="right" w:leader="underscore" w:pos="9356"/>
        </w:tabs>
        <w:rPr>
          <w:szCs w:val="24"/>
        </w:rPr>
      </w:pPr>
      <w:r>
        <w:rPr>
          <w:szCs w:val="24"/>
        </w:rPr>
        <w:tab/>
        <w:t>,</w:t>
      </w:r>
    </w:p>
    <w:p w14:paraId="1B7DAFB9" w14:textId="77777777" w:rsidR="00AD3E4F" w:rsidRDefault="00000000">
      <w:pPr>
        <w:tabs>
          <w:tab w:val="left" w:pos="1296"/>
        </w:tabs>
        <w:jc w:val="center"/>
        <w:rPr>
          <w:szCs w:val="24"/>
          <w:lang w:eastAsia="lt-LT"/>
        </w:rPr>
      </w:pPr>
      <w:r>
        <w:rPr>
          <w:szCs w:val="24"/>
          <w:lang w:eastAsia="lt-LT"/>
        </w:rPr>
        <w:t>vardas, pavardė, atstovavimo pagrindas)</w:t>
      </w:r>
    </w:p>
    <w:p w14:paraId="3FCB0FDE" w14:textId="77777777" w:rsidR="00AD3E4F" w:rsidRDefault="00000000">
      <w:pPr>
        <w:tabs>
          <w:tab w:val="right" w:leader="underscore" w:pos="9356"/>
        </w:tabs>
        <w:rPr>
          <w:szCs w:val="24"/>
        </w:rPr>
      </w:pPr>
      <w:r>
        <w:rPr>
          <w:szCs w:val="24"/>
        </w:rPr>
        <w:t xml:space="preserve">ir </w:t>
      </w:r>
      <w:r>
        <w:rPr>
          <w:szCs w:val="24"/>
        </w:rPr>
        <w:tab/>
        <w:t>,</w:t>
      </w:r>
    </w:p>
    <w:p w14:paraId="6C2C924F" w14:textId="77777777" w:rsidR="00AD3E4F" w:rsidRDefault="00000000">
      <w:pPr>
        <w:tabs>
          <w:tab w:val="left" w:pos="1296"/>
        </w:tabs>
        <w:jc w:val="center"/>
        <w:rPr>
          <w:szCs w:val="24"/>
        </w:rPr>
      </w:pPr>
      <w:r>
        <w:rPr>
          <w:szCs w:val="24"/>
        </w:rPr>
        <w:t xml:space="preserve">(pieno supirkėjo įmonės pavadinimas, kodas, buveinė ir įmonės PVM mokėtojos kodas) </w:t>
      </w:r>
    </w:p>
    <w:p w14:paraId="04F5D8AA" w14:textId="77777777" w:rsidR="00AD3E4F" w:rsidRDefault="00000000">
      <w:pPr>
        <w:tabs>
          <w:tab w:val="right" w:leader="underscore" w:pos="9356"/>
        </w:tabs>
        <w:rPr>
          <w:szCs w:val="24"/>
        </w:rPr>
      </w:pPr>
      <w:r>
        <w:rPr>
          <w:szCs w:val="24"/>
        </w:rPr>
        <w:t xml:space="preserve">toliau vadinama Pirkėju, atstovaujamas </w:t>
      </w:r>
      <w:r>
        <w:rPr>
          <w:szCs w:val="24"/>
        </w:rPr>
        <w:tab/>
      </w:r>
    </w:p>
    <w:p w14:paraId="66859DE3" w14:textId="77777777" w:rsidR="00AD3E4F" w:rsidRDefault="00000000">
      <w:pPr>
        <w:tabs>
          <w:tab w:val="left" w:pos="5880"/>
        </w:tabs>
        <w:ind w:firstLine="5880"/>
        <w:rPr>
          <w:szCs w:val="24"/>
        </w:rPr>
      </w:pPr>
      <w:r>
        <w:rPr>
          <w:szCs w:val="24"/>
        </w:rPr>
        <w:t>(atstovo pareigos,</w:t>
      </w:r>
    </w:p>
    <w:p w14:paraId="2F070D25" w14:textId="77777777" w:rsidR="00AD3E4F" w:rsidRDefault="00000000">
      <w:pPr>
        <w:tabs>
          <w:tab w:val="right" w:leader="underscore" w:pos="9356"/>
        </w:tabs>
        <w:rPr>
          <w:szCs w:val="24"/>
        </w:rPr>
      </w:pPr>
      <w:r>
        <w:rPr>
          <w:szCs w:val="24"/>
        </w:rPr>
        <w:tab/>
        <w:t>,</w:t>
      </w:r>
    </w:p>
    <w:p w14:paraId="3C900BB3" w14:textId="77777777" w:rsidR="00AD3E4F" w:rsidRDefault="00000000">
      <w:pPr>
        <w:tabs>
          <w:tab w:val="left" w:pos="1296"/>
        </w:tabs>
        <w:jc w:val="center"/>
        <w:rPr>
          <w:bCs/>
          <w:szCs w:val="24"/>
          <w:lang w:eastAsia="lt-LT"/>
        </w:rPr>
      </w:pPr>
      <w:r>
        <w:rPr>
          <w:bCs/>
          <w:szCs w:val="24"/>
          <w:lang w:eastAsia="lt-LT"/>
        </w:rPr>
        <w:t>vardas, pavardė, atstovavimo pagrindas)</w:t>
      </w:r>
    </w:p>
    <w:p w14:paraId="7D1DA1E6" w14:textId="77777777" w:rsidR="00AD3E4F" w:rsidRDefault="00000000">
      <w:pPr>
        <w:tabs>
          <w:tab w:val="left" w:pos="9072"/>
        </w:tabs>
        <w:ind w:firstLine="720"/>
        <w:rPr>
          <w:szCs w:val="24"/>
        </w:rPr>
      </w:pPr>
      <w:r>
        <w:rPr>
          <w:spacing w:val="100"/>
          <w:szCs w:val="24"/>
        </w:rPr>
        <w:t>sudarėme</w:t>
      </w:r>
      <w:r>
        <w:rPr>
          <w:szCs w:val="24"/>
        </w:rPr>
        <w:t xml:space="preserve"> šią sutartį:</w:t>
      </w:r>
    </w:p>
    <w:p w14:paraId="74D8E685" w14:textId="77777777" w:rsidR="00AD3E4F" w:rsidRDefault="00AD3E4F">
      <w:pPr>
        <w:tabs>
          <w:tab w:val="left" w:pos="1296"/>
        </w:tabs>
        <w:rPr>
          <w:szCs w:val="24"/>
        </w:rPr>
      </w:pPr>
    </w:p>
    <w:p w14:paraId="401060CC" w14:textId="77777777" w:rsidR="00AD3E4F" w:rsidRDefault="00000000">
      <w:pPr>
        <w:jc w:val="center"/>
        <w:rPr>
          <w:b/>
          <w:szCs w:val="24"/>
        </w:rPr>
      </w:pPr>
      <w:r>
        <w:rPr>
          <w:b/>
          <w:szCs w:val="24"/>
        </w:rPr>
        <w:t>I. SUTARTIES OBJEKTAS</w:t>
      </w:r>
    </w:p>
    <w:p w14:paraId="4F5E3BEA" w14:textId="77777777" w:rsidR="00AD3E4F" w:rsidRDefault="00AD3E4F">
      <w:pPr>
        <w:tabs>
          <w:tab w:val="left" w:pos="1296"/>
        </w:tabs>
        <w:jc w:val="both"/>
        <w:rPr>
          <w:szCs w:val="24"/>
        </w:rPr>
      </w:pPr>
    </w:p>
    <w:p w14:paraId="6D2D569F" w14:textId="77777777" w:rsidR="00AD3E4F" w:rsidRDefault="00000000">
      <w:pPr>
        <w:tabs>
          <w:tab w:val="left" w:pos="1134"/>
        </w:tabs>
        <w:overflowPunct w:val="0"/>
        <w:jc w:val="both"/>
        <w:textAlignment w:val="baseline"/>
      </w:pPr>
      <w:r>
        <w:t>1. Pardavėjas įsipareigoja parduoti, o Pirkėjas – nupirkti natūralų žalią pieną, atitinkantį 2004 m. balandžio 29 d. Europos Parlamento ir Tarybos reglamente (EB) Nr. 853/2004, nustatančiame konkrečius gyvūninės kilmės maisto produktų higienos reikalavimus, su paskutiniais pakeitimais, padarytais 2021 m. balandžio 12 d Komisijos deleguotuoju reglamentu (ES) 2021/1374</w:t>
      </w:r>
      <w:r>
        <w:rPr>
          <w:b/>
          <w:bCs/>
        </w:rPr>
        <w:t>,</w:t>
      </w:r>
      <w:r>
        <w:t xml:space="preserve"> ir Pieno supirkimo taisyklėse, patvirtintose Lietuvos Respublikos</w:t>
      </w:r>
      <w:r>
        <w:rPr>
          <w:b/>
        </w:rPr>
        <w:t xml:space="preserve"> </w:t>
      </w:r>
      <w:r>
        <w:t>žemės ūkio ministro 2001 m. gegužės 9 d. įsakymu Nr. 146 „Dėl Pieno supirkimo taisyklių patvirtinimo“, nurodytus pieno kokybės rodiklius:</w:t>
      </w:r>
    </w:p>
    <w:p w14:paraId="25BCCDD2" w14:textId="77777777" w:rsidR="000F4A61" w:rsidRDefault="000F4A61">
      <w:pPr>
        <w:tabs>
          <w:tab w:val="left" w:pos="1134"/>
        </w:tabs>
        <w:overflowPunct w:val="0"/>
        <w:jc w:val="both"/>
        <w:textAlignment w:val="baseline"/>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93"/>
        <w:gridCol w:w="521"/>
        <w:gridCol w:w="562"/>
        <w:gridCol w:w="571"/>
        <w:gridCol w:w="709"/>
        <w:gridCol w:w="709"/>
        <w:gridCol w:w="707"/>
        <w:gridCol w:w="709"/>
        <w:gridCol w:w="709"/>
        <w:gridCol w:w="707"/>
        <w:gridCol w:w="850"/>
        <w:gridCol w:w="709"/>
        <w:gridCol w:w="711"/>
      </w:tblGrid>
      <w:tr w:rsidR="00AD3E4F" w14:paraId="49D88407" w14:textId="77777777">
        <w:trPr>
          <w:cantSplit/>
        </w:trPr>
        <w:tc>
          <w:tcPr>
            <w:tcW w:w="5000" w:type="pct"/>
            <w:gridSpan w:val="13"/>
            <w:tcBorders>
              <w:top w:val="single" w:sz="4" w:space="0" w:color="auto"/>
              <w:left w:val="single" w:sz="4" w:space="0" w:color="auto"/>
              <w:bottom w:val="single" w:sz="4" w:space="0" w:color="auto"/>
              <w:right w:val="single" w:sz="4" w:space="0" w:color="auto"/>
            </w:tcBorders>
          </w:tcPr>
          <w:p w14:paraId="7F611110" w14:textId="77777777" w:rsidR="00AD3E4F" w:rsidRDefault="00000000">
            <w:pPr>
              <w:widowControl w:val="0"/>
              <w:overflowPunct w:val="0"/>
              <w:jc w:val="center"/>
              <w:textAlignment w:val="baseline"/>
            </w:pPr>
            <w:r>
              <w:t>Natūralaus žalio pieno kiekis, kg (t) *</w:t>
            </w:r>
          </w:p>
        </w:tc>
      </w:tr>
      <w:tr w:rsidR="00AD3E4F" w14:paraId="526614C0" w14:textId="77777777">
        <w:trPr>
          <w:cantSplit/>
        </w:trPr>
        <w:tc>
          <w:tcPr>
            <w:tcW w:w="5000" w:type="pct"/>
            <w:gridSpan w:val="13"/>
            <w:tcBorders>
              <w:top w:val="single" w:sz="4" w:space="0" w:color="auto"/>
              <w:left w:val="single" w:sz="4" w:space="0" w:color="auto"/>
              <w:bottom w:val="single" w:sz="4" w:space="0" w:color="auto"/>
              <w:right w:val="single" w:sz="4" w:space="0" w:color="auto"/>
            </w:tcBorders>
          </w:tcPr>
          <w:p w14:paraId="124DEC11" w14:textId="77777777" w:rsidR="00AD3E4F" w:rsidRDefault="00000000">
            <w:pPr>
              <w:widowControl w:val="0"/>
              <w:overflowPunct w:val="0"/>
              <w:jc w:val="center"/>
              <w:textAlignment w:val="baseline"/>
            </w:pPr>
            <w:r>
              <w:t>mėnesiais</w:t>
            </w:r>
          </w:p>
        </w:tc>
      </w:tr>
      <w:tr w:rsidR="00AD3E4F" w14:paraId="35B1B425" w14:textId="77777777">
        <w:trPr>
          <w:cantSplit/>
        </w:trPr>
        <w:tc>
          <w:tcPr>
            <w:tcW w:w="492" w:type="pct"/>
            <w:tcBorders>
              <w:top w:val="single" w:sz="4" w:space="0" w:color="auto"/>
              <w:left w:val="single" w:sz="4" w:space="0" w:color="auto"/>
              <w:bottom w:val="single" w:sz="4" w:space="0" w:color="auto"/>
              <w:right w:val="single" w:sz="4" w:space="0" w:color="auto"/>
            </w:tcBorders>
          </w:tcPr>
          <w:p w14:paraId="3136FC04" w14:textId="77777777" w:rsidR="00AD3E4F" w:rsidRDefault="00000000">
            <w:pPr>
              <w:widowControl w:val="0"/>
              <w:overflowPunct w:val="0"/>
              <w:jc w:val="both"/>
              <w:textAlignment w:val="baseline"/>
            </w:pPr>
            <w:r>
              <w:t>Iš viso</w:t>
            </w:r>
          </w:p>
        </w:tc>
        <w:tc>
          <w:tcPr>
            <w:tcW w:w="287" w:type="pct"/>
            <w:tcBorders>
              <w:top w:val="single" w:sz="4" w:space="0" w:color="auto"/>
              <w:left w:val="single" w:sz="4" w:space="0" w:color="auto"/>
              <w:bottom w:val="single" w:sz="4" w:space="0" w:color="auto"/>
              <w:right w:val="single" w:sz="4" w:space="0" w:color="auto"/>
            </w:tcBorders>
          </w:tcPr>
          <w:p w14:paraId="256EFF5E" w14:textId="77777777" w:rsidR="00AD3E4F" w:rsidRDefault="00000000">
            <w:pPr>
              <w:widowControl w:val="0"/>
              <w:overflowPunct w:val="0"/>
              <w:jc w:val="center"/>
              <w:textAlignment w:val="baseline"/>
            </w:pPr>
            <w:r>
              <w:t>1</w:t>
            </w:r>
          </w:p>
        </w:tc>
        <w:tc>
          <w:tcPr>
            <w:tcW w:w="310" w:type="pct"/>
            <w:tcBorders>
              <w:top w:val="single" w:sz="4" w:space="0" w:color="auto"/>
              <w:left w:val="single" w:sz="4" w:space="0" w:color="auto"/>
              <w:bottom w:val="single" w:sz="4" w:space="0" w:color="auto"/>
              <w:right w:val="single" w:sz="4" w:space="0" w:color="auto"/>
            </w:tcBorders>
          </w:tcPr>
          <w:p w14:paraId="2E4791CA" w14:textId="77777777" w:rsidR="00AD3E4F" w:rsidRDefault="00000000">
            <w:pPr>
              <w:widowControl w:val="0"/>
              <w:overflowPunct w:val="0"/>
              <w:jc w:val="center"/>
              <w:textAlignment w:val="baseline"/>
            </w:pPr>
            <w:r>
              <w:t>2</w:t>
            </w:r>
          </w:p>
        </w:tc>
        <w:tc>
          <w:tcPr>
            <w:tcW w:w="315" w:type="pct"/>
            <w:tcBorders>
              <w:top w:val="single" w:sz="4" w:space="0" w:color="auto"/>
              <w:left w:val="single" w:sz="4" w:space="0" w:color="auto"/>
              <w:bottom w:val="single" w:sz="4" w:space="0" w:color="auto"/>
              <w:right w:val="single" w:sz="4" w:space="0" w:color="auto"/>
            </w:tcBorders>
          </w:tcPr>
          <w:p w14:paraId="0AB0C7A8" w14:textId="77777777" w:rsidR="00AD3E4F" w:rsidRDefault="00000000">
            <w:pPr>
              <w:widowControl w:val="0"/>
              <w:overflowPunct w:val="0"/>
              <w:jc w:val="center"/>
              <w:textAlignment w:val="baseline"/>
            </w:pPr>
            <w:r>
              <w:t>3</w:t>
            </w:r>
          </w:p>
        </w:tc>
        <w:tc>
          <w:tcPr>
            <w:tcW w:w="391" w:type="pct"/>
            <w:tcBorders>
              <w:top w:val="single" w:sz="4" w:space="0" w:color="auto"/>
              <w:left w:val="single" w:sz="4" w:space="0" w:color="auto"/>
              <w:bottom w:val="single" w:sz="4" w:space="0" w:color="auto"/>
              <w:right w:val="single" w:sz="4" w:space="0" w:color="auto"/>
            </w:tcBorders>
          </w:tcPr>
          <w:p w14:paraId="3AE82045" w14:textId="77777777" w:rsidR="00AD3E4F" w:rsidRDefault="00000000">
            <w:pPr>
              <w:widowControl w:val="0"/>
              <w:overflowPunct w:val="0"/>
              <w:jc w:val="center"/>
              <w:textAlignment w:val="baseline"/>
            </w:pPr>
            <w:r>
              <w:t>4</w:t>
            </w:r>
          </w:p>
        </w:tc>
        <w:tc>
          <w:tcPr>
            <w:tcW w:w="391" w:type="pct"/>
            <w:tcBorders>
              <w:top w:val="single" w:sz="4" w:space="0" w:color="auto"/>
              <w:left w:val="single" w:sz="4" w:space="0" w:color="auto"/>
              <w:bottom w:val="single" w:sz="4" w:space="0" w:color="auto"/>
              <w:right w:val="single" w:sz="4" w:space="0" w:color="auto"/>
            </w:tcBorders>
          </w:tcPr>
          <w:p w14:paraId="762ABF4B" w14:textId="77777777" w:rsidR="00AD3E4F" w:rsidRDefault="00000000">
            <w:pPr>
              <w:widowControl w:val="0"/>
              <w:overflowPunct w:val="0"/>
              <w:jc w:val="center"/>
              <w:textAlignment w:val="baseline"/>
            </w:pPr>
            <w:r>
              <w:t>5</w:t>
            </w:r>
          </w:p>
        </w:tc>
        <w:tc>
          <w:tcPr>
            <w:tcW w:w="390" w:type="pct"/>
            <w:tcBorders>
              <w:top w:val="single" w:sz="4" w:space="0" w:color="auto"/>
              <w:left w:val="single" w:sz="4" w:space="0" w:color="auto"/>
              <w:bottom w:val="single" w:sz="4" w:space="0" w:color="auto"/>
              <w:right w:val="single" w:sz="4" w:space="0" w:color="auto"/>
            </w:tcBorders>
          </w:tcPr>
          <w:p w14:paraId="60F9A458" w14:textId="77777777" w:rsidR="00AD3E4F" w:rsidRDefault="00000000">
            <w:pPr>
              <w:widowControl w:val="0"/>
              <w:overflowPunct w:val="0"/>
              <w:jc w:val="center"/>
              <w:textAlignment w:val="baseline"/>
            </w:pPr>
            <w:r>
              <w:t>6</w:t>
            </w:r>
          </w:p>
        </w:tc>
        <w:tc>
          <w:tcPr>
            <w:tcW w:w="391" w:type="pct"/>
            <w:tcBorders>
              <w:top w:val="single" w:sz="4" w:space="0" w:color="auto"/>
              <w:left w:val="single" w:sz="4" w:space="0" w:color="auto"/>
              <w:bottom w:val="single" w:sz="4" w:space="0" w:color="auto"/>
              <w:right w:val="single" w:sz="4" w:space="0" w:color="auto"/>
            </w:tcBorders>
          </w:tcPr>
          <w:p w14:paraId="6422A6CC" w14:textId="77777777" w:rsidR="00AD3E4F" w:rsidRDefault="00000000">
            <w:pPr>
              <w:widowControl w:val="0"/>
              <w:overflowPunct w:val="0"/>
              <w:jc w:val="center"/>
              <w:textAlignment w:val="baseline"/>
            </w:pPr>
            <w:r>
              <w:t>7</w:t>
            </w:r>
          </w:p>
        </w:tc>
        <w:tc>
          <w:tcPr>
            <w:tcW w:w="391" w:type="pct"/>
            <w:tcBorders>
              <w:top w:val="single" w:sz="4" w:space="0" w:color="auto"/>
              <w:left w:val="single" w:sz="4" w:space="0" w:color="auto"/>
              <w:bottom w:val="single" w:sz="4" w:space="0" w:color="auto"/>
              <w:right w:val="single" w:sz="4" w:space="0" w:color="auto"/>
            </w:tcBorders>
          </w:tcPr>
          <w:p w14:paraId="2065D05B" w14:textId="77777777" w:rsidR="00AD3E4F" w:rsidRDefault="00000000">
            <w:pPr>
              <w:widowControl w:val="0"/>
              <w:overflowPunct w:val="0"/>
              <w:jc w:val="center"/>
              <w:textAlignment w:val="baseline"/>
            </w:pPr>
            <w:r>
              <w:t>8</w:t>
            </w:r>
          </w:p>
        </w:tc>
        <w:tc>
          <w:tcPr>
            <w:tcW w:w="390" w:type="pct"/>
            <w:tcBorders>
              <w:top w:val="single" w:sz="4" w:space="0" w:color="auto"/>
              <w:left w:val="single" w:sz="4" w:space="0" w:color="auto"/>
              <w:bottom w:val="single" w:sz="4" w:space="0" w:color="auto"/>
              <w:right w:val="single" w:sz="4" w:space="0" w:color="auto"/>
            </w:tcBorders>
          </w:tcPr>
          <w:p w14:paraId="7CF6EA47" w14:textId="77777777" w:rsidR="00AD3E4F" w:rsidRDefault="00000000">
            <w:pPr>
              <w:widowControl w:val="0"/>
              <w:overflowPunct w:val="0"/>
              <w:jc w:val="center"/>
              <w:textAlignment w:val="baseline"/>
            </w:pPr>
            <w:r>
              <w:t>9</w:t>
            </w:r>
          </w:p>
        </w:tc>
        <w:tc>
          <w:tcPr>
            <w:tcW w:w="469" w:type="pct"/>
            <w:tcBorders>
              <w:top w:val="single" w:sz="4" w:space="0" w:color="auto"/>
              <w:left w:val="single" w:sz="4" w:space="0" w:color="auto"/>
              <w:bottom w:val="single" w:sz="4" w:space="0" w:color="auto"/>
              <w:right w:val="single" w:sz="4" w:space="0" w:color="auto"/>
            </w:tcBorders>
          </w:tcPr>
          <w:p w14:paraId="2786A0FA" w14:textId="77777777" w:rsidR="00AD3E4F" w:rsidRDefault="00000000">
            <w:pPr>
              <w:widowControl w:val="0"/>
              <w:overflowPunct w:val="0"/>
              <w:jc w:val="center"/>
              <w:textAlignment w:val="baseline"/>
            </w:pPr>
            <w:r>
              <w:t>10</w:t>
            </w:r>
          </w:p>
        </w:tc>
        <w:tc>
          <w:tcPr>
            <w:tcW w:w="391" w:type="pct"/>
            <w:tcBorders>
              <w:top w:val="single" w:sz="4" w:space="0" w:color="auto"/>
              <w:left w:val="single" w:sz="4" w:space="0" w:color="auto"/>
              <w:bottom w:val="single" w:sz="4" w:space="0" w:color="auto"/>
              <w:right w:val="single" w:sz="4" w:space="0" w:color="auto"/>
            </w:tcBorders>
          </w:tcPr>
          <w:p w14:paraId="72DA61F8" w14:textId="77777777" w:rsidR="00AD3E4F" w:rsidRDefault="00000000">
            <w:pPr>
              <w:widowControl w:val="0"/>
              <w:overflowPunct w:val="0"/>
              <w:jc w:val="center"/>
              <w:textAlignment w:val="baseline"/>
            </w:pPr>
            <w:r>
              <w:t>11</w:t>
            </w:r>
          </w:p>
        </w:tc>
        <w:tc>
          <w:tcPr>
            <w:tcW w:w="390" w:type="pct"/>
            <w:tcBorders>
              <w:top w:val="single" w:sz="4" w:space="0" w:color="auto"/>
              <w:left w:val="single" w:sz="4" w:space="0" w:color="auto"/>
              <w:bottom w:val="single" w:sz="4" w:space="0" w:color="auto"/>
              <w:right w:val="single" w:sz="4" w:space="0" w:color="auto"/>
            </w:tcBorders>
          </w:tcPr>
          <w:p w14:paraId="3EED6E6A" w14:textId="77777777" w:rsidR="00AD3E4F" w:rsidRDefault="00000000">
            <w:pPr>
              <w:widowControl w:val="0"/>
              <w:overflowPunct w:val="0"/>
              <w:jc w:val="center"/>
              <w:textAlignment w:val="baseline"/>
            </w:pPr>
            <w:r>
              <w:t>12</w:t>
            </w:r>
          </w:p>
        </w:tc>
      </w:tr>
      <w:tr w:rsidR="00AD3E4F" w14:paraId="499F3974" w14:textId="77777777">
        <w:trPr>
          <w:cantSplit/>
        </w:trPr>
        <w:tc>
          <w:tcPr>
            <w:tcW w:w="492" w:type="pct"/>
            <w:tcBorders>
              <w:top w:val="single" w:sz="4" w:space="0" w:color="auto"/>
              <w:left w:val="single" w:sz="4" w:space="0" w:color="auto"/>
              <w:bottom w:val="single" w:sz="4" w:space="0" w:color="auto"/>
              <w:right w:val="single" w:sz="4" w:space="0" w:color="auto"/>
            </w:tcBorders>
          </w:tcPr>
          <w:p w14:paraId="7D58CEE6" w14:textId="77777777" w:rsidR="00AD3E4F" w:rsidRDefault="00AD3E4F">
            <w:pPr>
              <w:widowControl w:val="0"/>
              <w:overflowPunct w:val="0"/>
              <w:jc w:val="both"/>
              <w:textAlignment w:val="baseline"/>
            </w:pPr>
          </w:p>
        </w:tc>
        <w:tc>
          <w:tcPr>
            <w:tcW w:w="287" w:type="pct"/>
            <w:tcBorders>
              <w:top w:val="single" w:sz="4" w:space="0" w:color="auto"/>
              <w:left w:val="single" w:sz="4" w:space="0" w:color="auto"/>
              <w:bottom w:val="single" w:sz="4" w:space="0" w:color="auto"/>
              <w:right w:val="single" w:sz="4" w:space="0" w:color="auto"/>
            </w:tcBorders>
          </w:tcPr>
          <w:p w14:paraId="53063721" w14:textId="77777777" w:rsidR="00AD3E4F" w:rsidRDefault="00AD3E4F">
            <w:pPr>
              <w:widowControl w:val="0"/>
              <w:overflowPunct w:val="0"/>
              <w:jc w:val="both"/>
              <w:textAlignment w:val="baseline"/>
            </w:pPr>
          </w:p>
        </w:tc>
        <w:tc>
          <w:tcPr>
            <w:tcW w:w="310" w:type="pct"/>
            <w:tcBorders>
              <w:top w:val="single" w:sz="4" w:space="0" w:color="auto"/>
              <w:left w:val="single" w:sz="4" w:space="0" w:color="auto"/>
              <w:bottom w:val="single" w:sz="4" w:space="0" w:color="auto"/>
              <w:right w:val="single" w:sz="4" w:space="0" w:color="auto"/>
            </w:tcBorders>
          </w:tcPr>
          <w:p w14:paraId="307DC448" w14:textId="77777777" w:rsidR="00AD3E4F" w:rsidRDefault="00AD3E4F">
            <w:pPr>
              <w:widowControl w:val="0"/>
              <w:overflowPunct w:val="0"/>
              <w:jc w:val="both"/>
              <w:textAlignment w:val="baseline"/>
            </w:pPr>
          </w:p>
        </w:tc>
        <w:tc>
          <w:tcPr>
            <w:tcW w:w="315" w:type="pct"/>
            <w:tcBorders>
              <w:top w:val="single" w:sz="4" w:space="0" w:color="auto"/>
              <w:left w:val="single" w:sz="4" w:space="0" w:color="auto"/>
              <w:bottom w:val="single" w:sz="4" w:space="0" w:color="auto"/>
              <w:right w:val="single" w:sz="4" w:space="0" w:color="auto"/>
            </w:tcBorders>
          </w:tcPr>
          <w:p w14:paraId="63DFC915" w14:textId="77777777" w:rsidR="00AD3E4F" w:rsidRDefault="00AD3E4F">
            <w:pPr>
              <w:widowControl w:val="0"/>
              <w:overflowPunct w:val="0"/>
              <w:jc w:val="both"/>
              <w:textAlignment w:val="baseline"/>
            </w:pPr>
          </w:p>
        </w:tc>
        <w:tc>
          <w:tcPr>
            <w:tcW w:w="391" w:type="pct"/>
            <w:tcBorders>
              <w:top w:val="single" w:sz="4" w:space="0" w:color="auto"/>
              <w:left w:val="single" w:sz="4" w:space="0" w:color="auto"/>
              <w:bottom w:val="single" w:sz="4" w:space="0" w:color="auto"/>
              <w:right w:val="single" w:sz="4" w:space="0" w:color="auto"/>
            </w:tcBorders>
          </w:tcPr>
          <w:p w14:paraId="1B321D0C" w14:textId="77777777" w:rsidR="00AD3E4F" w:rsidRDefault="00AD3E4F">
            <w:pPr>
              <w:widowControl w:val="0"/>
              <w:overflowPunct w:val="0"/>
              <w:jc w:val="both"/>
              <w:textAlignment w:val="baseline"/>
            </w:pPr>
          </w:p>
        </w:tc>
        <w:tc>
          <w:tcPr>
            <w:tcW w:w="391" w:type="pct"/>
            <w:tcBorders>
              <w:top w:val="single" w:sz="4" w:space="0" w:color="auto"/>
              <w:left w:val="single" w:sz="4" w:space="0" w:color="auto"/>
              <w:bottom w:val="single" w:sz="4" w:space="0" w:color="auto"/>
              <w:right w:val="single" w:sz="4" w:space="0" w:color="auto"/>
            </w:tcBorders>
          </w:tcPr>
          <w:p w14:paraId="6C9116D8" w14:textId="77777777" w:rsidR="00AD3E4F" w:rsidRDefault="00AD3E4F">
            <w:pPr>
              <w:widowControl w:val="0"/>
              <w:overflowPunct w:val="0"/>
              <w:jc w:val="both"/>
              <w:textAlignment w:val="baseline"/>
            </w:pPr>
          </w:p>
        </w:tc>
        <w:tc>
          <w:tcPr>
            <w:tcW w:w="390" w:type="pct"/>
            <w:tcBorders>
              <w:top w:val="single" w:sz="4" w:space="0" w:color="auto"/>
              <w:left w:val="single" w:sz="4" w:space="0" w:color="auto"/>
              <w:bottom w:val="single" w:sz="4" w:space="0" w:color="auto"/>
              <w:right w:val="single" w:sz="4" w:space="0" w:color="auto"/>
            </w:tcBorders>
          </w:tcPr>
          <w:p w14:paraId="1526533C" w14:textId="77777777" w:rsidR="00AD3E4F" w:rsidRDefault="00AD3E4F">
            <w:pPr>
              <w:widowControl w:val="0"/>
              <w:overflowPunct w:val="0"/>
              <w:jc w:val="both"/>
              <w:textAlignment w:val="baseline"/>
            </w:pPr>
          </w:p>
        </w:tc>
        <w:tc>
          <w:tcPr>
            <w:tcW w:w="391" w:type="pct"/>
            <w:tcBorders>
              <w:top w:val="single" w:sz="4" w:space="0" w:color="auto"/>
              <w:left w:val="single" w:sz="4" w:space="0" w:color="auto"/>
              <w:bottom w:val="single" w:sz="4" w:space="0" w:color="auto"/>
              <w:right w:val="single" w:sz="4" w:space="0" w:color="auto"/>
            </w:tcBorders>
          </w:tcPr>
          <w:p w14:paraId="7A53D486" w14:textId="77777777" w:rsidR="00AD3E4F" w:rsidRDefault="00AD3E4F">
            <w:pPr>
              <w:widowControl w:val="0"/>
              <w:overflowPunct w:val="0"/>
              <w:jc w:val="both"/>
              <w:textAlignment w:val="baseline"/>
            </w:pPr>
          </w:p>
        </w:tc>
        <w:tc>
          <w:tcPr>
            <w:tcW w:w="391" w:type="pct"/>
            <w:tcBorders>
              <w:top w:val="single" w:sz="4" w:space="0" w:color="auto"/>
              <w:left w:val="single" w:sz="4" w:space="0" w:color="auto"/>
              <w:bottom w:val="single" w:sz="4" w:space="0" w:color="auto"/>
              <w:right w:val="single" w:sz="4" w:space="0" w:color="auto"/>
            </w:tcBorders>
          </w:tcPr>
          <w:p w14:paraId="7D0D0D90" w14:textId="77777777" w:rsidR="00AD3E4F" w:rsidRDefault="00AD3E4F">
            <w:pPr>
              <w:widowControl w:val="0"/>
              <w:overflowPunct w:val="0"/>
              <w:jc w:val="both"/>
              <w:textAlignment w:val="baseline"/>
            </w:pPr>
          </w:p>
        </w:tc>
        <w:tc>
          <w:tcPr>
            <w:tcW w:w="390" w:type="pct"/>
            <w:tcBorders>
              <w:top w:val="single" w:sz="4" w:space="0" w:color="auto"/>
              <w:left w:val="single" w:sz="4" w:space="0" w:color="auto"/>
              <w:bottom w:val="single" w:sz="4" w:space="0" w:color="auto"/>
              <w:right w:val="single" w:sz="4" w:space="0" w:color="auto"/>
            </w:tcBorders>
          </w:tcPr>
          <w:p w14:paraId="78CE5B4C" w14:textId="77777777" w:rsidR="00AD3E4F" w:rsidRDefault="00AD3E4F">
            <w:pPr>
              <w:widowControl w:val="0"/>
              <w:overflowPunct w:val="0"/>
              <w:jc w:val="both"/>
              <w:textAlignment w:val="baseline"/>
            </w:pPr>
          </w:p>
        </w:tc>
        <w:tc>
          <w:tcPr>
            <w:tcW w:w="469" w:type="pct"/>
            <w:tcBorders>
              <w:top w:val="single" w:sz="4" w:space="0" w:color="auto"/>
              <w:left w:val="single" w:sz="4" w:space="0" w:color="auto"/>
              <w:bottom w:val="single" w:sz="4" w:space="0" w:color="auto"/>
              <w:right w:val="single" w:sz="4" w:space="0" w:color="auto"/>
            </w:tcBorders>
          </w:tcPr>
          <w:p w14:paraId="1F917AE8" w14:textId="77777777" w:rsidR="00AD3E4F" w:rsidRDefault="00AD3E4F">
            <w:pPr>
              <w:widowControl w:val="0"/>
              <w:overflowPunct w:val="0"/>
              <w:jc w:val="both"/>
              <w:textAlignment w:val="baseline"/>
            </w:pPr>
          </w:p>
        </w:tc>
        <w:tc>
          <w:tcPr>
            <w:tcW w:w="391" w:type="pct"/>
            <w:tcBorders>
              <w:top w:val="single" w:sz="4" w:space="0" w:color="auto"/>
              <w:left w:val="single" w:sz="4" w:space="0" w:color="auto"/>
              <w:bottom w:val="single" w:sz="4" w:space="0" w:color="auto"/>
              <w:right w:val="single" w:sz="4" w:space="0" w:color="auto"/>
            </w:tcBorders>
          </w:tcPr>
          <w:p w14:paraId="2B24D958" w14:textId="77777777" w:rsidR="00AD3E4F" w:rsidRDefault="00AD3E4F">
            <w:pPr>
              <w:widowControl w:val="0"/>
              <w:overflowPunct w:val="0"/>
              <w:jc w:val="both"/>
              <w:textAlignment w:val="baseline"/>
            </w:pPr>
          </w:p>
        </w:tc>
        <w:tc>
          <w:tcPr>
            <w:tcW w:w="390" w:type="pct"/>
            <w:tcBorders>
              <w:top w:val="single" w:sz="4" w:space="0" w:color="auto"/>
              <w:left w:val="single" w:sz="4" w:space="0" w:color="auto"/>
              <w:bottom w:val="single" w:sz="4" w:space="0" w:color="auto"/>
              <w:right w:val="single" w:sz="4" w:space="0" w:color="auto"/>
            </w:tcBorders>
          </w:tcPr>
          <w:p w14:paraId="3FB2CE40" w14:textId="77777777" w:rsidR="00AD3E4F" w:rsidRDefault="00AD3E4F">
            <w:pPr>
              <w:widowControl w:val="0"/>
              <w:overflowPunct w:val="0"/>
              <w:jc w:val="both"/>
              <w:textAlignment w:val="baseline"/>
            </w:pPr>
          </w:p>
        </w:tc>
      </w:tr>
    </w:tbl>
    <w:p w14:paraId="7C6BE690" w14:textId="77777777" w:rsidR="00AD3E4F" w:rsidRDefault="00000000">
      <w:pPr>
        <w:tabs>
          <w:tab w:val="left" w:pos="1134"/>
        </w:tabs>
        <w:overflowPunct w:val="0"/>
        <w:jc w:val="both"/>
        <w:textAlignment w:val="baseline"/>
        <w:rPr>
          <w:szCs w:val="24"/>
        </w:rPr>
      </w:pPr>
      <w:r>
        <w:rPr>
          <w:szCs w:val="24"/>
        </w:rPr>
        <w:t>* Parduodamo pieno kiekis gali nukrypti ne daugiau kaip 10 procentų lentelėje nurodyto kiekio</w:t>
      </w:r>
    </w:p>
    <w:p w14:paraId="31015C31" w14:textId="77777777" w:rsidR="00AD3E4F" w:rsidRDefault="00AD3E4F"/>
    <w:p w14:paraId="1C3A8238" w14:textId="77777777" w:rsidR="00AD3E4F" w:rsidRDefault="00000000">
      <w:pPr>
        <w:tabs>
          <w:tab w:val="left" w:pos="1296"/>
        </w:tabs>
        <w:overflowPunct w:val="0"/>
        <w:jc w:val="both"/>
        <w:textAlignment w:val="baseline"/>
        <w:rPr>
          <w:b/>
          <w:szCs w:val="24"/>
        </w:rPr>
      </w:pPr>
      <w:r>
        <w:rPr>
          <w:szCs w:val="24"/>
        </w:rPr>
        <w:t>2. Natūralus žalias pienas priskiriamas prie greitai gendančių žemės ūkio ir maisto produktų.</w:t>
      </w:r>
      <w:r>
        <w:t xml:space="preserve"> </w:t>
      </w:r>
    </w:p>
    <w:p w14:paraId="52AE6DD1" w14:textId="77777777" w:rsidR="00AD3E4F" w:rsidRDefault="00000000">
      <w:pPr>
        <w:tabs>
          <w:tab w:val="left" w:pos="1296"/>
        </w:tabs>
        <w:jc w:val="center"/>
        <w:rPr>
          <w:b/>
          <w:szCs w:val="24"/>
        </w:rPr>
      </w:pPr>
      <w:r>
        <w:rPr>
          <w:b/>
          <w:szCs w:val="24"/>
        </w:rPr>
        <w:t>II. PIENO KOKYBĖ IR TIEKIMAS</w:t>
      </w:r>
    </w:p>
    <w:p w14:paraId="08B7C884" w14:textId="77777777" w:rsidR="00AD3E4F" w:rsidRDefault="00AD3E4F">
      <w:pPr>
        <w:tabs>
          <w:tab w:val="left" w:pos="1296"/>
        </w:tabs>
        <w:jc w:val="both"/>
        <w:rPr>
          <w:szCs w:val="24"/>
        </w:rPr>
      </w:pPr>
    </w:p>
    <w:p w14:paraId="0D941E69" w14:textId="77777777" w:rsidR="00AD3E4F" w:rsidRDefault="00000000">
      <w:pPr>
        <w:tabs>
          <w:tab w:val="left" w:pos="1296"/>
        </w:tabs>
        <w:jc w:val="both"/>
        <w:rPr>
          <w:bCs/>
          <w:szCs w:val="24"/>
        </w:rPr>
      </w:pPr>
      <w:r>
        <w:rPr>
          <w:szCs w:val="24"/>
        </w:rPr>
        <w:t xml:space="preserve">3. Pieno sudėtis ir kokybė vertinama vadovaujantis </w:t>
      </w:r>
      <w:r>
        <w:rPr>
          <w:color w:val="000000"/>
          <w:szCs w:val="24"/>
        </w:rPr>
        <w:t>reglamento (EB) Nr. 853/2004</w:t>
      </w:r>
      <w:r>
        <w:rPr>
          <w:szCs w:val="24"/>
        </w:rPr>
        <w:t xml:space="preserve"> ir Pieno supirkimo taisyklių reikalavimais. Pardavėjas įsipareigoja parduodamą pieną paruošti pagal šių teisės aktų nustatytus</w:t>
      </w:r>
      <w:r>
        <w:rPr>
          <w:bCs/>
          <w:szCs w:val="24"/>
        </w:rPr>
        <w:t xml:space="preserve"> </w:t>
      </w:r>
      <w:r>
        <w:rPr>
          <w:szCs w:val="24"/>
        </w:rPr>
        <w:t>reikalavimus</w:t>
      </w:r>
      <w:r>
        <w:rPr>
          <w:bCs/>
          <w:szCs w:val="24"/>
        </w:rPr>
        <w:t>.</w:t>
      </w:r>
    </w:p>
    <w:p w14:paraId="065F6D4D" w14:textId="77777777" w:rsidR="00AD3E4F" w:rsidRDefault="00000000">
      <w:pPr>
        <w:tabs>
          <w:tab w:val="left" w:pos="1296"/>
        </w:tabs>
        <w:jc w:val="both"/>
        <w:rPr>
          <w:szCs w:val="24"/>
        </w:rPr>
      </w:pPr>
      <w:r>
        <w:rPr>
          <w:szCs w:val="24"/>
        </w:rPr>
        <w:t>4. Pienas superkamas pagal iš anksto Pirkėjo nustatytą ir paskelbtą grafiką. Supirkimo laikas įrašomas pieno supirkimo ir apskaitos knygelėje.</w:t>
      </w:r>
    </w:p>
    <w:p w14:paraId="15F0DD92" w14:textId="77777777" w:rsidR="00AD3E4F" w:rsidRDefault="00000000">
      <w:pPr>
        <w:tabs>
          <w:tab w:val="left" w:pos="1296"/>
          <w:tab w:val="right" w:leader="underscore" w:pos="9356"/>
        </w:tabs>
        <w:rPr>
          <w:szCs w:val="24"/>
        </w:rPr>
      </w:pPr>
      <w:r>
        <w:rPr>
          <w:szCs w:val="24"/>
        </w:rPr>
        <w:t xml:space="preserve">5. Pardavėjas pieną parduoda, o Pirkėjas perka </w:t>
      </w:r>
      <w:r>
        <w:rPr>
          <w:szCs w:val="24"/>
        </w:rPr>
        <w:tab/>
      </w:r>
    </w:p>
    <w:p w14:paraId="5470DF2A" w14:textId="77777777" w:rsidR="00AD3E4F" w:rsidRDefault="00000000">
      <w:pPr>
        <w:tabs>
          <w:tab w:val="left" w:pos="5880"/>
        </w:tabs>
        <w:ind w:firstLine="5880"/>
        <w:rPr>
          <w:bCs/>
          <w:szCs w:val="24"/>
          <w:lang w:eastAsia="lt-LT"/>
        </w:rPr>
      </w:pPr>
      <w:r>
        <w:rPr>
          <w:bCs/>
          <w:szCs w:val="24"/>
          <w:lang w:eastAsia="lt-LT"/>
        </w:rPr>
        <w:t>(nurodyti vietą, laiką pagal sezonus)</w:t>
      </w:r>
    </w:p>
    <w:p w14:paraId="092E1FC9" w14:textId="77777777" w:rsidR="00AD3E4F" w:rsidRDefault="00AD3E4F">
      <w:pPr>
        <w:tabs>
          <w:tab w:val="left" w:pos="1296"/>
        </w:tabs>
        <w:jc w:val="both"/>
        <w:rPr>
          <w:szCs w:val="24"/>
        </w:rPr>
      </w:pPr>
    </w:p>
    <w:p w14:paraId="4986071C" w14:textId="77777777" w:rsidR="00AD3E4F" w:rsidRDefault="00000000">
      <w:pPr>
        <w:tabs>
          <w:tab w:val="left" w:pos="1296"/>
        </w:tabs>
        <w:jc w:val="center"/>
        <w:rPr>
          <w:b/>
          <w:szCs w:val="24"/>
        </w:rPr>
      </w:pPr>
      <w:r>
        <w:rPr>
          <w:b/>
          <w:szCs w:val="24"/>
        </w:rPr>
        <w:t>III. KAINOS IR ATSISKAITYMAS</w:t>
      </w:r>
    </w:p>
    <w:p w14:paraId="35CB93A4" w14:textId="77777777" w:rsidR="00AD3E4F" w:rsidRDefault="00AD3E4F">
      <w:pPr>
        <w:tabs>
          <w:tab w:val="left" w:pos="1296"/>
        </w:tabs>
        <w:jc w:val="both"/>
        <w:rPr>
          <w:szCs w:val="24"/>
        </w:rPr>
      </w:pPr>
    </w:p>
    <w:p w14:paraId="5DEBC594" w14:textId="77777777" w:rsidR="00AD3E4F" w:rsidRDefault="00000000">
      <w:pPr>
        <w:tabs>
          <w:tab w:val="left" w:pos="1296"/>
        </w:tabs>
        <w:jc w:val="both"/>
        <w:rPr>
          <w:szCs w:val="24"/>
        </w:rPr>
      </w:pPr>
      <w:r>
        <w:rPr>
          <w:szCs w:val="24"/>
        </w:rPr>
        <w:t>6. Įskaitiniu pieno supirkimo laikotarpiu laikyti pirmąją mėnesio pusę (nuo 1 d. iki 15 d. imtinai) ir antrąją mėnesio pusę (nuo 16 d. iki paskutinės mėnesio dienos imtinai). Produkcijos įkainojimo trukme laikyti ne ilgiau kaip 8 darbo dienas.</w:t>
      </w:r>
    </w:p>
    <w:p w14:paraId="3907B826" w14:textId="77777777" w:rsidR="00AD3E4F" w:rsidRDefault="00000000">
      <w:pPr>
        <w:tabs>
          <w:tab w:val="left" w:pos="1296"/>
        </w:tabs>
        <w:jc w:val="both"/>
        <w:rPr>
          <w:color w:val="000000"/>
          <w:szCs w:val="24"/>
        </w:rPr>
      </w:pPr>
      <w:r>
        <w:rPr>
          <w:szCs w:val="24"/>
        </w:rPr>
        <w:t>7.</w:t>
      </w:r>
      <w:r>
        <w:rPr>
          <w:b/>
          <w:szCs w:val="24"/>
        </w:rPr>
        <w:t xml:space="preserve"> </w:t>
      </w:r>
      <w:r>
        <w:rPr>
          <w:szCs w:val="24"/>
        </w:rPr>
        <w:t>Mokėtina už natūralų žalią pieną suma įskaitiniu laikotarpiu apskaičiuojama</w:t>
      </w:r>
      <w:r>
        <w:rPr>
          <w:b/>
          <w:bCs/>
          <w:szCs w:val="24"/>
        </w:rPr>
        <w:t xml:space="preserve"> </w:t>
      </w:r>
      <w:r>
        <w:rPr>
          <w:szCs w:val="24"/>
        </w:rPr>
        <w:t>pagal bazinių rodiklių (3,4 procento riebumo ir 3 procentų baltymingumo) pieno kainą ir kiekį, įvertinant patiekto pieno sudėtį ir kokybę pagal įgaliotos laboratorijos duomenis.</w:t>
      </w:r>
      <w:r>
        <w:rPr>
          <w:color w:val="000000"/>
          <w:szCs w:val="24"/>
        </w:rPr>
        <w:t xml:space="preserve"> </w:t>
      </w:r>
    </w:p>
    <w:p w14:paraId="78306D88" w14:textId="77777777" w:rsidR="00AD3E4F" w:rsidRDefault="00000000">
      <w:pPr>
        <w:tabs>
          <w:tab w:val="left" w:pos="1296"/>
        </w:tabs>
        <w:overflowPunct w:val="0"/>
        <w:jc w:val="both"/>
        <w:textAlignment w:val="baseline"/>
        <w:rPr>
          <w:color w:val="000000"/>
          <w:szCs w:val="24"/>
        </w:rPr>
      </w:pPr>
      <w:r>
        <w:rPr>
          <w:szCs w:val="24"/>
        </w:rPr>
        <w:t>8.</w:t>
      </w:r>
      <w:r>
        <w:rPr>
          <w:b/>
          <w:szCs w:val="24"/>
        </w:rPr>
        <w:t xml:space="preserve"> </w:t>
      </w:r>
      <w:r>
        <w:rPr>
          <w:szCs w:val="24"/>
        </w:rPr>
        <w:t>Pirkėjas moka Pardavėjui už patiektą natūralų žalią pieną</w:t>
      </w:r>
      <w:r>
        <w:rPr>
          <w:color w:val="000000"/>
          <w:szCs w:val="24"/>
        </w:rPr>
        <w:t>:</w:t>
      </w:r>
    </w:p>
    <w:p w14:paraId="74E6F18A" w14:textId="77777777" w:rsidR="00AD3E4F" w:rsidRDefault="00AD3E4F">
      <w:pPr>
        <w:tabs>
          <w:tab w:val="left" w:pos="1296"/>
        </w:tabs>
        <w:overflowPunct w:val="0"/>
        <w:jc w:val="both"/>
        <w:textAlignment w:val="baseline"/>
        <w:rPr>
          <w:color w:val="000000"/>
          <w:szCs w:val="24"/>
        </w:rPr>
      </w:pPr>
    </w:p>
    <w:tbl>
      <w:tblPr>
        <w:tblW w:w="9639" w:type="dxa"/>
        <w:tblBorders>
          <w:top w:val="single" w:sz="12" w:space="0" w:color="auto"/>
          <w:left w:val="single" w:sz="12" w:space="0" w:color="auto"/>
          <w:bottom w:val="single" w:sz="12" w:space="0" w:color="auto"/>
          <w:right w:val="single" w:sz="12" w:space="0" w:color="auto"/>
          <w:insideH w:val="nil"/>
          <w:insideV w:val="nil"/>
        </w:tblBorders>
        <w:tblCellMar>
          <w:left w:w="56" w:type="dxa"/>
          <w:right w:w="56" w:type="dxa"/>
        </w:tblCellMar>
        <w:tblLook w:val="0000" w:firstRow="0" w:lastRow="0" w:firstColumn="0" w:lastColumn="0" w:noHBand="0" w:noVBand="0"/>
      </w:tblPr>
      <w:tblGrid>
        <w:gridCol w:w="9639"/>
      </w:tblGrid>
      <w:tr w:rsidR="00AD3E4F" w14:paraId="0D563068" w14:textId="77777777">
        <w:tc>
          <w:tcPr>
            <w:tcW w:w="5000" w:type="pct"/>
            <w:tcBorders>
              <w:top w:val="single" w:sz="4" w:space="0" w:color="auto"/>
              <w:left w:val="single" w:sz="4" w:space="0" w:color="auto"/>
              <w:bottom w:val="single" w:sz="4" w:space="0" w:color="auto"/>
              <w:right w:val="single" w:sz="4" w:space="0" w:color="auto"/>
            </w:tcBorders>
          </w:tcPr>
          <w:p w14:paraId="5ACD3424" w14:textId="77777777" w:rsidR="00AD3E4F" w:rsidRDefault="00000000">
            <w:pPr>
              <w:widowControl w:val="0"/>
              <w:overflowPunct w:val="0"/>
              <w:spacing w:line="276" w:lineRule="auto"/>
              <w:jc w:val="center"/>
              <w:textAlignment w:val="baseline"/>
              <w:rPr>
                <w:color w:val="000000"/>
                <w:szCs w:val="24"/>
              </w:rPr>
            </w:pPr>
            <w:r>
              <w:rPr>
                <w:bCs/>
                <w:color w:val="000000"/>
                <w:szCs w:val="24"/>
              </w:rPr>
              <w:t>Bazinių rodiklių pieno supirkimo kaina</w:t>
            </w:r>
            <w:r>
              <w:rPr>
                <w:color w:val="000000"/>
                <w:szCs w:val="24"/>
              </w:rPr>
              <w:t xml:space="preserve">, Eur už t </w:t>
            </w:r>
          </w:p>
        </w:tc>
      </w:tr>
      <w:tr w:rsidR="00AD3E4F" w14:paraId="1414EAB5" w14:textId="77777777">
        <w:tc>
          <w:tcPr>
            <w:tcW w:w="5000" w:type="pct"/>
            <w:tcBorders>
              <w:top w:val="single" w:sz="4" w:space="0" w:color="auto"/>
              <w:left w:val="single" w:sz="4" w:space="0" w:color="auto"/>
              <w:bottom w:val="single" w:sz="4" w:space="0" w:color="auto"/>
              <w:right w:val="single" w:sz="4" w:space="0" w:color="auto"/>
            </w:tcBorders>
          </w:tcPr>
          <w:p w14:paraId="3E8BCBC4" w14:textId="77777777" w:rsidR="00AD3E4F" w:rsidRDefault="00AD3E4F">
            <w:pPr>
              <w:widowControl w:val="0"/>
              <w:overflowPunct w:val="0"/>
              <w:spacing w:line="276" w:lineRule="auto"/>
              <w:jc w:val="both"/>
              <w:textAlignment w:val="baseline"/>
              <w:rPr>
                <w:color w:val="000000"/>
                <w:szCs w:val="24"/>
              </w:rPr>
            </w:pPr>
          </w:p>
        </w:tc>
      </w:tr>
      <w:tr w:rsidR="00AD3E4F" w14:paraId="2FAACBF9" w14:textId="77777777">
        <w:tc>
          <w:tcPr>
            <w:tcW w:w="5000" w:type="pct"/>
            <w:tcBorders>
              <w:top w:val="single" w:sz="4" w:space="0" w:color="auto"/>
              <w:left w:val="single" w:sz="4" w:space="0" w:color="auto"/>
              <w:bottom w:val="single" w:sz="4" w:space="0" w:color="auto"/>
              <w:right w:val="single" w:sz="4" w:space="0" w:color="auto"/>
            </w:tcBorders>
          </w:tcPr>
          <w:p w14:paraId="017CE6B1" w14:textId="77777777" w:rsidR="00AD3E4F" w:rsidRDefault="00000000">
            <w:pPr>
              <w:widowControl w:val="0"/>
              <w:overflowPunct w:val="0"/>
              <w:spacing w:line="276" w:lineRule="auto"/>
              <w:jc w:val="center"/>
              <w:textAlignment w:val="baseline"/>
              <w:rPr>
                <w:szCs w:val="24"/>
              </w:rPr>
            </w:pPr>
            <w:r>
              <w:rPr>
                <w:szCs w:val="24"/>
              </w:rPr>
              <w:t>Taikomos priemokos, priedai ir nuoskaitos:</w:t>
            </w:r>
          </w:p>
        </w:tc>
      </w:tr>
      <w:tr w:rsidR="00AD3E4F" w14:paraId="6849887F" w14:textId="77777777">
        <w:tc>
          <w:tcPr>
            <w:tcW w:w="5000" w:type="pct"/>
            <w:tcBorders>
              <w:top w:val="single" w:sz="4" w:space="0" w:color="auto"/>
              <w:left w:val="single" w:sz="4" w:space="0" w:color="auto"/>
              <w:bottom w:val="single" w:sz="4" w:space="0" w:color="auto"/>
              <w:right w:val="single" w:sz="4" w:space="0" w:color="auto"/>
            </w:tcBorders>
          </w:tcPr>
          <w:p w14:paraId="465FE7B9" w14:textId="77777777" w:rsidR="00AD3E4F" w:rsidRDefault="00AD3E4F">
            <w:pPr>
              <w:widowControl w:val="0"/>
              <w:overflowPunct w:val="0"/>
              <w:spacing w:line="276" w:lineRule="auto"/>
              <w:jc w:val="both"/>
              <w:textAlignment w:val="baseline"/>
              <w:rPr>
                <w:szCs w:val="24"/>
              </w:rPr>
            </w:pPr>
          </w:p>
        </w:tc>
      </w:tr>
      <w:tr w:rsidR="00AD3E4F" w14:paraId="57EB83FA" w14:textId="77777777">
        <w:tc>
          <w:tcPr>
            <w:tcW w:w="5000" w:type="pct"/>
            <w:tcBorders>
              <w:top w:val="single" w:sz="4" w:space="0" w:color="auto"/>
              <w:left w:val="single" w:sz="4" w:space="0" w:color="auto"/>
              <w:bottom w:val="single" w:sz="4" w:space="0" w:color="auto"/>
              <w:right w:val="single" w:sz="4" w:space="0" w:color="auto"/>
            </w:tcBorders>
          </w:tcPr>
          <w:p w14:paraId="68066207" w14:textId="77777777" w:rsidR="00AD3E4F" w:rsidRDefault="00AD3E4F">
            <w:pPr>
              <w:widowControl w:val="0"/>
              <w:overflowPunct w:val="0"/>
              <w:spacing w:line="276" w:lineRule="auto"/>
              <w:jc w:val="both"/>
              <w:textAlignment w:val="baseline"/>
              <w:rPr>
                <w:szCs w:val="24"/>
              </w:rPr>
            </w:pPr>
          </w:p>
        </w:tc>
      </w:tr>
      <w:tr w:rsidR="00AD3E4F" w14:paraId="1BD68E93" w14:textId="77777777">
        <w:tc>
          <w:tcPr>
            <w:tcW w:w="5000" w:type="pct"/>
            <w:tcBorders>
              <w:top w:val="single" w:sz="4" w:space="0" w:color="auto"/>
              <w:left w:val="single" w:sz="4" w:space="0" w:color="auto"/>
              <w:bottom w:val="single" w:sz="4" w:space="0" w:color="auto"/>
              <w:right w:val="single" w:sz="4" w:space="0" w:color="auto"/>
            </w:tcBorders>
          </w:tcPr>
          <w:p w14:paraId="0132FB12" w14:textId="77777777" w:rsidR="00AD3E4F" w:rsidRDefault="00AD3E4F">
            <w:pPr>
              <w:widowControl w:val="0"/>
              <w:overflowPunct w:val="0"/>
              <w:spacing w:line="276" w:lineRule="auto"/>
              <w:jc w:val="center"/>
              <w:textAlignment w:val="baseline"/>
              <w:rPr>
                <w:szCs w:val="24"/>
              </w:rPr>
            </w:pPr>
          </w:p>
        </w:tc>
      </w:tr>
      <w:tr w:rsidR="00AD3E4F" w14:paraId="53A7F9EB" w14:textId="77777777">
        <w:tc>
          <w:tcPr>
            <w:tcW w:w="5000" w:type="pct"/>
            <w:tcBorders>
              <w:top w:val="single" w:sz="4" w:space="0" w:color="auto"/>
              <w:left w:val="single" w:sz="4" w:space="0" w:color="auto"/>
              <w:bottom w:val="single" w:sz="4" w:space="0" w:color="auto"/>
              <w:right w:val="single" w:sz="4" w:space="0" w:color="auto"/>
            </w:tcBorders>
          </w:tcPr>
          <w:p w14:paraId="11285740" w14:textId="77777777" w:rsidR="00AD3E4F" w:rsidRDefault="00AD3E4F">
            <w:pPr>
              <w:widowControl w:val="0"/>
              <w:overflowPunct w:val="0"/>
              <w:spacing w:line="276" w:lineRule="auto"/>
              <w:jc w:val="both"/>
              <w:textAlignment w:val="baseline"/>
              <w:rPr>
                <w:szCs w:val="24"/>
              </w:rPr>
            </w:pPr>
          </w:p>
        </w:tc>
      </w:tr>
      <w:tr w:rsidR="00AD3E4F" w14:paraId="1828B769" w14:textId="77777777">
        <w:tc>
          <w:tcPr>
            <w:tcW w:w="5000" w:type="pct"/>
            <w:tcBorders>
              <w:top w:val="single" w:sz="4" w:space="0" w:color="auto"/>
              <w:left w:val="single" w:sz="4" w:space="0" w:color="auto"/>
              <w:bottom w:val="single" w:sz="4" w:space="0" w:color="auto"/>
              <w:right w:val="single" w:sz="4" w:space="0" w:color="auto"/>
            </w:tcBorders>
          </w:tcPr>
          <w:p w14:paraId="6E2B8F63" w14:textId="77777777" w:rsidR="00AD3E4F" w:rsidRDefault="00AD3E4F">
            <w:pPr>
              <w:widowControl w:val="0"/>
              <w:overflowPunct w:val="0"/>
              <w:spacing w:line="276" w:lineRule="auto"/>
              <w:jc w:val="both"/>
              <w:textAlignment w:val="baseline"/>
              <w:rPr>
                <w:szCs w:val="24"/>
              </w:rPr>
            </w:pPr>
          </w:p>
        </w:tc>
      </w:tr>
      <w:tr w:rsidR="00AD3E4F" w14:paraId="4149F64A" w14:textId="77777777">
        <w:tc>
          <w:tcPr>
            <w:tcW w:w="5000" w:type="pct"/>
            <w:tcBorders>
              <w:top w:val="single" w:sz="4" w:space="0" w:color="auto"/>
              <w:left w:val="single" w:sz="4" w:space="0" w:color="auto"/>
              <w:bottom w:val="single" w:sz="4" w:space="0" w:color="auto"/>
              <w:right w:val="single" w:sz="4" w:space="0" w:color="auto"/>
            </w:tcBorders>
          </w:tcPr>
          <w:p w14:paraId="6D110717" w14:textId="77777777" w:rsidR="00AD3E4F" w:rsidRDefault="00AD3E4F">
            <w:pPr>
              <w:widowControl w:val="0"/>
              <w:overflowPunct w:val="0"/>
              <w:spacing w:line="276" w:lineRule="auto"/>
              <w:jc w:val="both"/>
              <w:textAlignment w:val="baseline"/>
              <w:rPr>
                <w:szCs w:val="24"/>
              </w:rPr>
            </w:pPr>
          </w:p>
        </w:tc>
      </w:tr>
      <w:tr w:rsidR="00AD3E4F" w14:paraId="6927D57F" w14:textId="77777777">
        <w:tc>
          <w:tcPr>
            <w:tcW w:w="5000" w:type="pct"/>
            <w:tcBorders>
              <w:top w:val="single" w:sz="4" w:space="0" w:color="auto"/>
              <w:left w:val="single" w:sz="4" w:space="0" w:color="auto"/>
              <w:bottom w:val="single" w:sz="4" w:space="0" w:color="auto"/>
              <w:right w:val="single" w:sz="4" w:space="0" w:color="auto"/>
            </w:tcBorders>
          </w:tcPr>
          <w:p w14:paraId="4D7A5551" w14:textId="77777777" w:rsidR="00AD3E4F" w:rsidRDefault="00AD3E4F">
            <w:pPr>
              <w:widowControl w:val="0"/>
              <w:overflowPunct w:val="0"/>
              <w:spacing w:line="276" w:lineRule="auto"/>
              <w:jc w:val="both"/>
              <w:textAlignment w:val="baseline"/>
              <w:rPr>
                <w:szCs w:val="24"/>
              </w:rPr>
            </w:pPr>
          </w:p>
        </w:tc>
      </w:tr>
    </w:tbl>
    <w:p w14:paraId="38365782" w14:textId="77777777" w:rsidR="00AD3E4F" w:rsidRDefault="00AD3E4F">
      <w:pPr>
        <w:overflowPunct w:val="0"/>
        <w:spacing w:line="360" w:lineRule="auto"/>
        <w:ind w:firstLine="851"/>
        <w:jc w:val="both"/>
        <w:textAlignment w:val="baseline"/>
        <w:rPr>
          <w:color w:val="000000"/>
          <w:szCs w:val="24"/>
        </w:rPr>
      </w:pPr>
    </w:p>
    <w:p w14:paraId="3DFA15E8" w14:textId="77777777" w:rsidR="00AD3E4F" w:rsidRDefault="00000000">
      <w:pPr>
        <w:tabs>
          <w:tab w:val="left" w:pos="9071"/>
        </w:tabs>
        <w:jc w:val="both"/>
        <w:rPr>
          <w:szCs w:val="24"/>
        </w:rPr>
      </w:pPr>
      <w:r>
        <w:rPr>
          <w:szCs w:val="24"/>
        </w:rPr>
        <w:t>9. Už supirktą pieną Pirkėjas atsiskaito per______________ dienų, bet ne vėliau kaip per 30 kalendorinių dienų nuo reguliariai parduodamo pieno įskaitinio tiekimo laikotarpio, nurodyto šios</w:t>
      </w:r>
      <w:r>
        <w:rPr>
          <w:bCs/>
          <w:szCs w:val="24"/>
        </w:rPr>
        <w:t xml:space="preserve"> </w:t>
      </w:r>
      <w:r>
        <w:rPr>
          <w:szCs w:val="24"/>
        </w:rPr>
        <w:t>sutarties 6 punkte, pabaigos.</w:t>
      </w:r>
    </w:p>
    <w:p w14:paraId="3E272AD1" w14:textId="77777777" w:rsidR="00AD3E4F" w:rsidRDefault="00000000">
      <w:pPr>
        <w:tabs>
          <w:tab w:val="right" w:leader="underscore" w:pos="9356"/>
        </w:tabs>
        <w:jc w:val="both"/>
        <w:rPr>
          <w:szCs w:val="24"/>
        </w:rPr>
      </w:pPr>
      <w:r>
        <w:rPr>
          <w:szCs w:val="24"/>
        </w:rPr>
        <w:t xml:space="preserve">10. Atsiskaitoma </w:t>
      </w:r>
      <w:r>
        <w:rPr>
          <w:szCs w:val="24"/>
        </w:rPr>
        <w:tab/>
      </w:r>
    </w:p>
    <w:p w14:paraId="7FA25CFA" w14:textId="77777777" w:rsidR="00AD3E4F" w:rsidRDefault="00000000">
      <w:pPr>
        <w:tabs>
          <w:tab w:val="left" w:pos="2400"/>
        </w:tabs>
        <w:ind w:firstLine="2400"/>
        <w:rPr>
          <w:szCs w:val="24"/>
        </w:rPr>
      </w:pPr>
      <w:r>
        <w:rPr>
          <w:szCs w:val="24"/>
        </w:rPr>
        <w:t>(grynaisiais pinigais, mokėjimo nurodymais įvykdyti kredito</w:t>
      </w:r>
      <w:r>
        <w:rPr>
          <w:b/>
          <w:bCs/>
          <w:szCs w:val="24"/>
        </w:rPr>
        <w:t xml:space="preserve"> </w:t>
      </w:r>
      <w:r>
        <w:rPr>
          <w:szCs w:val="24"/>
        </w:rPr>
        <w:t>ir debeto pervedimus</w:t>
      </w:r>
    </w:p>
    <w:p w14:paraId="12D5E6D9" w14:textId="77777777" w:rsidR="00AD3E4F" w:rsidRDefault="00000000">
      <w:pPr>
        <w:tabs>
          <w:tab w:val="right" w:leader="underscore" w:pos="9356"/>
        </w:tabs>
        <w:jc w:val="both"/>
        <w:rPr>
          <w:szCs w:val="24"/>
        </w:rPr>
      </w:pPr>
      <w:r>
        <w:rPr>
          <w:szCs w:val="24"/>
        </w:rPr>
        <w:tab/>
        <w:t>.</w:t>
      </w:r>
    </w:p>
    <w:p w14:paraId="3305C868" w14:textId="77777777" w:rsidR="00AD3E4F" w:rsidRDefault="00000000">
      <w:pPr>
        <w:tabs>
          <w:tab w:val="left" w:pos="1296"/>
        </w:tabs>
        <w:jc w:val="center"/>
        <w:rPr>
          <w:szCs w:val="24"/>
        </w:rPr>
      </w:pPr>
      <w:r>
        <w:rPr>
          <w:szCs w:val="24"/>
        </w:rPr>
        <w:t>ir kitaip, nurodant sąskaitos numerį, banko ir banko skyriaus pavadinimą, kodą)</w:t>
      </w:r>
    </w:p>
    <w:p w14:paraId="7FE612BF" w14:textId="77777777" w:rsidR="00AD3E4F" w:rsidRDefault="00AD3E4F">
      <w:pPr>
        <w:tabs>
          <w:tab w:val="left" w:pos="1296"/>
        </w:tabs>
        <w:jc w:val="both"/>
        <w:rPr>
          <w:szCs w:val="24"/>
        </w:rPr>
      </w:pPr>
    </w:p>
    <w:p w14:paraId="386A28D7" w14:textId="77777777" w:rsidR="00AD3E4F" w:rsidRDefault="00000000">
      <w:pPr>
        <w:tabs>
          <w:tab w:val="left" w:pos="1296"/>
        </w:tabs>
        <w:jc w:val="center"/>
        <w:rPr>
          <w:b/>
          <w:szCs w:val="24"/>
        </w:rPr>
      </w:pPr>
      <w:r>
        <w:rPr>
          <w:b/>
          <w:szCs w:val="24"/>
        </w:rPr>
        <w:t>IV. ŠALIŲ TURTINĖ ATSAKOMYBĖ</w:t>
      </w:r>
    </w:p>
    <w:p w14:paraId="5BAD98E5" w14:textId="77777777" w:rsidR="00AD3E4F" w:rsidRDefault="00AD3E4F">
      <w:pPr>
        <w:tabs>
          <w:tab w:val="left" w:pos="1296"/>
        </w:tabs>
        <w:jc w:val="both"/>
        <w:rPr>
          <w:szCs w:val="24"/>
        </w:rPr>
      </w:pPr>
    </w:p>
    <w:p w14:paraId="2DCF6C66" w14:textId="77777777" w:rsidR="00AD3E4F" w:rsidRDefault="00000000">
      <w:pPr>
        <w:tabs>
          <w:tab w:val="left" w:pos="1296"/>
        </w:tabs>
        <w:jc w:val="both"/>
        <w:rPr>
          <w:szCs w:val="24"/>
        </w:rPr>
      </w:pPr>
      <w:r>
        <w:rPr>
          <w:szCs w:val="24"/>
        </w:rPr>
        <w:t>11. Nepardavęs pieno pagal išankstinį grafiką, Pardavėjas per ____ darbo dienas sumoka Pirkėjui baudą –____ procentus neparduoto pieno vertės, išskyrus, kai pieno supirkimas nutraukiamas Pieno supirkimo taisyklėse nurodytais atvejais.</w:t>
      </w:r>
    </w:p>
    <w:p w14:paraId="097E4B6A" w14:textId="77777777" w:rsidR="00AD3E4F" w:rsidRDefault="00000000">
      <w:pPr>
        <w:tabs>
          <w:tab w:val="left" w:pos="1296"/>
        </w:tabs>
        <w:jc w:val="both"/>
        <w:rPr>
          <w:szCs w:val="24"/>
        </w:rPr>
      </w:pPr>
      <w:r>
        <w:rPr>
          <w:szCs w:val="24"/>
        </w:rPr>
        <w:t>12.</w:t>
      </w:r>
      <w:r>
        <w:rPr>
          <w:b/>
          <w:szCs w:val="24"/>
        </w:rPr>
        <w:t xml:space="preserve"> </w:t>
      </w:r>
      <w:r>
        <w:rPr>
          <w:szCs w:val="24"/>
        </w:rPr>
        <w:t>Nenupirkęs pieno pagal išankstinį grafiką, Pirkėjas per ___ darbo dienas sumoka Pardavėjui baudą –_____ procentus nenupirkto pieno vertės, išskyrus, kai pieno supirkimas nutraukiamas Pieno supirkimo taisyklėse nurodytais atvejais.</w:t>
      </w:r>
    </w:p>
    <w:p w14:paraId="4D1FEA7D" w14:textId="77777777" w:rsidR="00AD3E4F" w:rsidRDefault="00000000">
      <w:pPr>
        <w:tabs>
          <w:tab w:val="left" w:pos="1296"/>
        </w:tabs>
        <w:jc w:val="both"/>
        <w:rPr>
          <w:strike/>
          <w:szCs w:val="24"/>
        </w:rPr>
      </w:pPr>
      <w:r>
        <w:rPr>
          <w:szCs w:val="24"/>
        </w:rPr>
        <w:lastRenderedPageBreak/>
        <w:t>13. Šalių turtinė atsakomybė nesilaikant atsiskaitymo už supirktą pieną sąlygų ir tvarkos taikoma kaip numatyta Lietuvos Respublikos atsiskaitymo už žemės ūkio produkciją įstatyme.</w:t>
      </w:r>
    </w:p>
    <w:p w14:paraId="5C73941A" w14:textId="77777777" w:rsidR="00AD3E4F" w:rsidRDefault="00000000">
      <w:pPr>
        <w:tabs>
          <w:tab w:val="left" w:pos="1296"/>
        </w:tabs>
        <w:jc w:val="both"/>
        <w:rPr>
          <w:color w:val="000000"/>
          <w:szCs w:val="24"/>
        </w:rPr>
      </w:pPr>
      <w:r>
        <w:rPr>
          <w:szCs w:val="24"/>
        </w:rPr>
        <w:t>14.</w:t>
      </w:r>
      <w:r>
        <w:rPr>
          <w:b/>
          <w:szCs w:val="24"/>
        </w:rPr>
        <w:t xml:space="preserve"> </w:t>
      </w:r>
      <w:r>
        <w:rPr>
          <w:szCs w:val="24"/>
        </w:rPr>
        <w:t>Šalis gali būti visiškai ar iš dalies atleidžiama nuo atsakomybės už sutarties neįvykdymą, jeigu įrodo, kad sutartis neįvykdyta dėl aplinkybių, kurių ji negalėjo kontroliuoti ir protingai numatyti sutarties sudarymo metu, ir negalėjo užkirsti kelio šioms aplinkybėms ar jų pasekmėms atsirasti (</w:t>
      </w:r>
      <w:r>
        <w:rPr>
          <w:i/>
          <w:szCs w:val="24"/>
        </w:rPr>
        <w:t>force majeure</w:t>
      </w:r>
      <w:r>
        <w:rPr>
          <w:szCs w:val="24"/>
        </w:rPr>
        <w:t xml:space="preserve">), </w:t>
      </w:r>
      <w:r>
        <w:rPr>
          <w:color w:val="000000"/>
          <w:szCs w:val="24"/>
        </w:rPr>
        <w:t>taip pat kitais Lietuvos Respublikos civilinio kodekso 6.253 straipsnyje nurodytais atvejais. Šalis, negalinti vykdyti įsipareigojimų, privalo per 3 kalendorines dienas pranešti kitai šaliai apie susidariusias aplinkybes ir jų įtaką vykdant sutartį.</w:t>
      </w:r>
    </w:p>
    <w:p w14:paraId="5905895A" w14:textId="77777777" w:rsidR="00AD3E4F" w:rsidRDefault="00AD3E4F">
      <w:pPr>
        <w:tabs>
          <w:tab w:val="left" w:pos="1296"/>
        </w:tabs>
        <w:jc w:val="both"/>
        <w:rPr>
          <w:color w:val="000000"/>
          <w:szCs w:val="24"/>
        </w:rPr>
      </w:pPr>
    </w:p>
    <w:p w14:paraId="44732EB7" w14:textId="77777777" w:rsidR="00AD3E4F" w:rsidRDefault="00000000">
      <w:pPr>
        <w:tabs>
          <w:tab w:val="left" w:pos="1296"/>
        </w:tabs>
        <w:jc w:val="center"/>
        <w:rPr>
          <w:b/>
          <w:color w:val="000000"/>
          <w:szCs w:val="24"/>
        </w:rPr>
      </w:pPr>
      <w:r>
        <w:rPr>
          <w:b/>
          <w:color w:val="000000"/>
          <w:szCs w:val="24"/>
        </w:rPr>
        <w:t>V. KITOS SUTARTIES SĄLYGOS</w:t>
      </w:r>
    </w:p>
    <w:p w14:paraId="11D40756" w14:textId="77777777" w:rsidR="00AD3E4F" w:rsidRDefault="00AD3E4F">
      <w:pPr>
        <w:tabs>
          <w:tab w:val="left" w:pos="1296"/>
        </w:tabs>
        <w:jc w:val="both"/>
        <w:rPr>
          <w:color w:val="000000"/>
          <w:szCs w:val="24"/>
        </w:rPr>
      </w:pPr>
    </w:p>
    <w:p w14:paraId="0E2A3474" w14:textId="77777777" w:rsidR="00AD3E4F" w:rsidRDefault="00000000">
      <w:pPr>
        <w:tabs>
          <w:tab w:val="left" w:pos="1296"/>
          <w:tab w:val="right" w:leader="underscore" w:pos="9356"/>
        </w:tabs>
        <w:jc w:val="both"/>
        <w:rPr>
          <w:szCs w:val="24"/>
        </w:rPr>
      </w:pPr>
      <w:r>
        <w:rPr>
          <w:szCs w:val="24"/>
        </w:rPr>
        <w:t>15.</w:t>
      </w:r>
      <w:r>
        <w:rPr>
          <w:b/>
          <w:szCs w:val="24"/>
        </w:rPr>
        <w:t xml:space="preserve"> </w:t>
      </w:r>
      <w:r>
        <w:rPr>
          <w:szCs w:val="24"/>
        </w:rPr>
        <w:t xml:space="preserve">Kitos sutarties sąlygos, neprieštaraujančios galiojantiems teisės aktams ir šiai sutarčiai: </w:t>
      </w:r>
      <w:r>
        <w:rPr>
          <w:szCs w:val="24"/>
        </w:rPr>
        <w:tab/>
      </w:r>
    </w:p>
    <w:p w14:paraId="042B0130" w14:textId="77777777" w:rsidR="00AD3E4F" w:rsidRDefault="00000000">
      <w:pPr>
        <w:tabs>
          <w:tab w:val="right" w:leader="underscore" w:pos="9356"/>
        </w:tabs>
        <w:jc w:val="both"/>
        <w:rPr>
          <w:szCs w:val="24"/>
        </w:rPr>
      </w:pPr>
      <w:r>
        <w:rPr>
          <w:szCs w:val="24"/>
        </w:rPr>
        <w:tab/>
      </w:r>
    </w:p>
    <w:p w14:paraId="00D94703" w14:textId="77777777" w:rsidR="00AD3E4F" w:rsidRDefault="00000000">
      <w:pPr>
        <w:tabs>
          <w:tab w:val="right" w:leader="underscore" w:pos="9356"/>
        </w:tabs>
        <w:jc w:val="both"/>
        <w:rPr>
          <w:szCs w:val="24"/>
        </w:rPr>
      </w:pPr>
      <w:r>
        <w:rPr>
          <w:szCs w:val="24"/>
        </w:rPr>
        <w:tab/>
      </w:r>
    </w:p>
    <w:p w14:paraId="2A85F6E3" w14:textId="77777777" w:rsidR="00AD3E4F" w:rsidRDefault="00000000">
      <w:pPr>
        <w:tabs>
          <w:tab w:val="right" w:leader="underscore" w:pos="9356"/>
        </w:tabs>
        <w:jc w:val="both"/>
        <w:rPr>
          <w:szCs w:val="24"/>
        </w:rPr>
      </w:pPr>
      <w:r>
        <w:rPr>
          <w:szCs w:val="24"/>
        </w:rPr>
        <w:tab/>
      </w:r>
    </w:p>
    <w:p w14:paraId="705D302A" w14:textId="77777777" w:rsidR="00AD3E4F" w:rsidRDefault="00000000">
      <w:pPr>
        <w:tabs>
          <w:tab w:val="right" w:leader="underscore" w:pos="9356"/>
        </w:tabs>
        <w:jc w:val="both"/>
        <w:rPr>
          <w:szCs w:val="24"/>
        </w:rPr>
      </w:pPr>
      <w:r>
        <w:rPr>
          <w:szCs w:val="24"/>
        </w:rPr>
        <w:tab/>
      </w:r>
    </w:p>
    <w:p w14:paraId="420DAE76" w14:textId="77777777" w:rsidR="00AD3E4F" w:rsidRDefault="00000000">
      <w:pPr>
        <w:tabs>
          <w:tab w:val="right" w:leader="underscore" w:pos="9356"/>
        </w:tabs>
        <w:jc w:val="both"/>
        <w:rPr>
          <w:szCs w:val="24"/>
        </w:rPr>
      </w:pPr>
      <w:r>
        <w:rPr>
          <w:szCs w:val="24"/>
        </w:rPr>
        <w:tab/>
      </w:r>
    </w:p>
    <w:p w14:paraId="21EAB604" w14:textId="77777777" w:rsidR="00AD3E4F" w:rsidRDefault="00000000">
      <w:pPr>
        <w:tabs>
          <w:tab w:val="right" w:leader="underscore" w:pos="9356"/>
        </w:tabs>
        <w:jc w:val="both"/>
        <w:rPr>
          <w:szCs w:val="24"/>
        </w:rPr>
      </w:pPr>
      <w:r>
        <w:rPr>
          <w:szCs w:val="24"/>
        </w:rPr>
        <w:tab/>
      </w:r>
    </w:p>
    <w:p w14:paraId="4455866D" w14:textId="77777777" w:rsidR="00AD3E4F" w:rsidRDefault="00000000">
      <w:pPr>
        <w:tabs>
          <w:tab w:val="right" w:leader="underscore" w:pos="9356"/>
        </w:tabs>
        <w:jc w:val="both"/>
        <w:rPr>
          <w:szCs w:val="24"/>
        </w:rPr>
      </w:pPr>
      <w:r>
        <w:rPr>
          <w:szCs w:val="24"/>
        </w:rPr>
        <w:tab/>
      </w:r>
    </w:p>
    <w:p w14:paraId="2012EEAC" w14:textId="77777777" w:rsidR="00AD3E4F" w:rsidRDefault="00000000">
      <w:pPr>
        <w:tabs>
          <w:tab w:val="right" w:leader="underscore" w:pos="9356"/>
        </w:tabs>
        <w:jc w:val="both"/>
        <w:rPr>
          <w:szCs w:val="24"/>
        </w:rPr>
      </w:pPr>
      <w:r>
        <w:rPr>
          <w:szCs w:val="24"/>
        </w:rPr>
        <w:tab/>
      </w:r>
    </w:p>
    <w:p w14:paraId="115B059E" w14:textId="77777777" w:rsidR="00AD3E4F" w:rsidRDefault="00000000">
      <w:pPr>
        <w:tabs>
          <w:tab w:val="right" w:leader="underscore" w:pos="9356"/>
        </w:tabs>
        <w:jc w:val="both"/>
        <w:rPr>
          <w:szCs w:val="24"/>
        </w:rPr>
      </w:pPr>
      <w:r>
        <w:rPr>
          <w:szCs w:val="24"/>
        </w:rPr>
        <w:tab/>
      </w:r>
    </w:p>
    <w:p w14:paraId="6BF33CA9" w14:textId="77777777" w:rsidR="00AD3E4F" w:rsidRDefault="00AD3E4F">
      <w:pPr>
        <w:tabs>
          <w:tab w:val="left" w:pos="1296"/>
        </w:tabs>
        <w:jc w:val="both"/>
        <w:rPr>
          <w:szCs w:val="24"/>
        </w:rPr>
      </w:pPr>
    </w:p>
    <w:p w14:paraId="6D6B1D6C" w14:textId="77777777" w:rsidR="00AD3E4F" w:rsidRDefault="00000000">
      <w:pPr>
        <w:tabs>
          <w:tab w:val="left" w:pos="1296"/>
        </w:tabs>
        <w:overflowPunct w:val="0"/>
        <w:jc w:val="both"/>
        <w:textAlignment w:val="baseline"/>
        <w:rPr>
          <w:szCs w:val="24"/>
        </w:rPr>
      </w:pPr>
      <w:r>
        <w:t xml:space="preserve">16. </w:t>
      </w:r>
      <w:r>
        <w:rPr>
          <w:szCs w:val="24"/>
        </w:rPr>
        <w:t>Sutartis gali būti pakeista ar papildyta tik rašytiniu abiejų šalių susitarimu (išskyrus 17 punkte numatytą atvejį). Apie sutarties sąlygų keitimą turi būti pranešta raštu kitai sutarties šaliai ne vėliau kaip prieš 30 kalendorinių dienų.</w:t>
      </w:r>
      <w:r>
        <w:t xml:space="preserve"> </w:t>
      </w:r>
    </w:p>
    <w:p w14:paraId="5AC64E34" w14:textId="77777777" w:rsidR="00AD3E4F" w:rsidRDefault="00000000">
      <w:pPr>
        <w:tabs>
          <w:tab w:val="left" w:pos="1296"/>
        </w:tabs>
        <w:overflowPunct w:val="0"/>
        <w:jc w:val="both"/>
        <w:textAlignment w:val="baseline"/>
        <w:rPr>
          <w:szCs w:val="24"/>
        </w:rPr>
      </w:pPr>
      <w:r>
        <w:rPr>
          <w:szCs w:val="24"/>
        </w:rPr>
        <w:t>17. Šalys įsipareigoja informuoti viena kitą apie siūlomus pieno kainų pakeitimus ne vėliau kaip prieš 30 kalendorinių dienų raštu ir (arba) pasirašytinai.</w:t>
      </w:r>
      <w:r>
        <w:rPr>
          <w:bCs/>
          <w:szCs w:val="24"/>
        </w:rPr>
        <w:t xml:space="preserve"> Per šį terminą šalims parašais patvirtinus susitarimą dėl pieno kainų pakeitimo, šis susitarimas laikomas sutarties pakeitimu ir yra neatskiriama sutarties dalis. </w:t>
      </w:r>
      <w:r>
        <w:rPr>
          <w:szCs w:val="24"/>
        </w:rPr>
        <w:t>Per šį</w:t>
      </w:r>
      <w:r>
        <w:rPr>
          <w:b/>
          <w:bCs/>
          <w:szCs w:val="24"/>
        </w:rPr>
        <w:t xml:space="preserve"> </w:t>
      </w:r>
      <w:r>
        <w:rPr>
          <w:szCs w:val="24"/>
        </w:rPr>
        <w:t>terminą šalims nesutarus dėl pieno kainų pakeitimo ir raštu ir (arba) pasirašytinai neįforminus sutarties pakeitimo, sutartis gali būti nutraukta vienos iš šalių rašytiniu pranešimu ne anksčiau kaip po nurodytojo termino pabaigos.</w:t>
      </w:r>
      <w:r>
        <w:t xml:space="preserve"> </w:t>
      </w:r>
    </w:p>
    <w:p w14:paraId="4165E931" w14:textId="77777777" w:rsidR="00AD3E4F" w:rsidRDefault="00000000">
      <w:pPr>
        <w:overflowPunct w:val="0"/>
        <w:jc w:val="both"/>
        <w:textAlignment w:val="baseline"/>
        <w:rPr>
          <w:szCs w:val="24"/>
        </w:rPr>
      </w:pPr>
      <w:r>
        <w:rPr>
          <w:szCs w:val="24"/>
        </w:rPr>
        <w:t xml:space="preserve">18. </w:t>
      </w:r>
      <w:r>
        <w:t xml:space="preserve">Sutartis nutraukiama Lietuvos Respublikos civilinio kodekso nustatytais pagrindais ir tvarka. </w:t>
      </w:r>
    </w:p>
    <w:p w14:paraId="73B9AA3E" w14:textId="77777777" w:rsidR="00AD3E4F" w:rsidRDefault="00000000">
      <w:pPr>
        <w:tabs>
          <w:tab w:val="left" w:pos="1296"/>
        </w:tabs>
        <w:jc w:val="both"/>
        <w:rPr>
          <w:szCs w:val="24"/>
        </w:rPr>
      </w:pPr>
      <w:r>
        <w:rPr>
          <w:szCs w:val="24"/>
        </w:rPr>
        <w:t>19. Sutartis įsigalioja nuo jos sudarymo dienos ir galioja ___________.</w:t>
      </w:r>
    </w:p>
    <w:p w14:paraId="34C4F2BA" w14:textId="77777777" w:rsidR="00AD3E4F" w:rsidRDefault="00000000">
      <w:pPr>
        <w:tabs>
          <w:tab w:val="left" w:pos="1296"/>
        </w:tabs>
        <w:jc w:val="both"/>
        <w:rPr>
          <w:szCs w:val="24"/>
        </w:rPr>
      </w:pPr>
      <w:r>
        <w:rPr>
          <w:szCs w:val="24"/>
        </w:rPr>
        <w:t>20.</w:t>
      </w:r>
      <w:r>
        <w:rPr>
          <w:b/>
          <w:szCs w:val="24"/>
        </w:rPr>
        <w:t xml:space="preserve"> </w:t>
      </w:r>
      <w:r>
        <w:rPr>
          <w:szCs w:val="24"/>
        </w:rPr>
        <w:t>Sutartis sudaroma dviem egzemplioriais, turinčiais vienodą juridinę galią, po vieną egzempliorių kiekvienai sutarties šaliai.</w:t>
      </w:r>
    </w:p>
    <w:p w14:paraId="02A09A1F" w14:textId="77777777" w:rsidR="00AD3E4F" w:rsidRDefault="00000000">
      <w:pPr>
        <w:tabs>
          <w:tab w:val="left" w:pos="1296"/>
        </w:tabs>
        <w:jc w:val="both"/>
        <w:rPr>
          <w:szCs w:val="24"/>
        </w:rPr>
      </w:pPr>
      <w:r>
        <w:rPr>
          <w:szCs w:val="24"/>
        </w:rPr>
        <w:t>21. Ginčai sprendžiami derybų būdu, o ginčus, susijusius su perkamo ir parduodamo pieno sudėties ir kokybės vertinimu, taip pat sprendžia ir Valstybinė maisto ir veterinarijos tarnyba. Nepavykus susitarti – ginčai gali būti sprendžiami arbitražo tvarka arba teisme.</w:t>
      </w:r>
    </w:p>
    <w:p w14:paraId="664554DA" w14:textId="77777777" w:rsidR="00AD3E4F" w:rsidRDefault="00AD3E4F">
      <w:pPr>
        <w:tabs>
          <w:tab w:val="left" w:pos="1296"/>
        </w:tabs>
        <w:jc w:val="both"/>
        <w:rPr>
          <w:szCs w:val="24"/>
        </w:rPr>
      </w:pPr>
    </w:p>
    <w:p w14:paraId="0CD514E1" w14:textId="77777777" w:rsidR="00AD3E4F" w:rsidRDefault="00000000">
      <w:pPr>
        <w:tabs>
          <w:tab w:val="left" w:pos="1296"/>
        </w:tabs>
        <w:jc w:val="center"/>
        <w:rPr>
          <w:b/>
          <w:szCs w:val="24"/>
        </w:rPr>
      </w:pPr>
      <w:r>
        <w:rPr>
          <w:b/>
          <w:szCs w:val="24"/>
        </w:rPr>
        <w:t>VI. ŠALIŲ REKVIZITAI</w:t>
      </w:r>
    </w:p>
    <w:p w14:paraId="658EB282" w14:textId="77777777" w:rsidR="00AD3E4F" w:rsidRDefault="00AD3E4F">
      <w:pPr>
        <w:tabs>
          <w:tab w:val="left" w:pos="1296"/>
        </w:tabs>
        <w:jc w:val="both"/>
        <w:rPr>
          <w:szCs w:val="24"/>
        </w:rPr>
      </w:pPr>
    </w:p>
    <w:p w14:paraId="2E631CF7" w14:textId="77777777" w:rsidR="00AD3E4F" w:rsidRDefault="00000000">
      <w:pPr>
        <w:tabs>
          <w:tab w:val="left" w:pos="1296"/>
        </w:tabs>
        <w:jc w:val="both"/>
        <w:rPr>
          <w:szCs w:val="24"/>
        </w:rPr>
      </w:pPr>
      <w:r>
        <w:rPr>
          <w:szCs w:val="24"/>
        </w:rPr>
        <w:t>22.</w:t>
      </w:r>
      <w:r>
        <w:rPr>
          <w:b/>
          <w:szCs w:val="24"/>
        </w:rPr>
        <w:t xml:space="preserve"> </w:t>
      </w:r>
      <w:r>
        <w:rPr>
          <w:szCs w:val="24"/>
        </w:rPr>
        <w:t>Sutarties šalių bankuose esančios sąskaitos:</w:t>
      </w:r>
    </w:p>
    <w:p w14:paraId="2B5AED40" w14:textId="77777777" w:rsidR="00AD3E4F" w:rsidRDefault="00AD3E4F">
      <w:pPr>
        <w:tabs>
          <w:tab w:val="left" w:pos="1296"/>
        </w:tabs>
        <w:jc w:val="both"/>
        <w:rPr>
          <w:szCs w:val="24"/>
        </w:rPr>
      </w:pPr>
    </w:p>
    <w:p w14:paraId="2B160ECF" w14:textId="77777777" w:rsidR="00AD3E4F" w:rsidRDefault="00AD3E4F">
      <w:pPr>
        <w:tabs>
          <w:tab w:val="left" w:pos="1296"/>
        </w:tabs>
        <w:jc w:val="both"/>
        <w:rPr>
          <w:szCs w:val="24"/>
        </w:rPr>
      </w:pPr>
    </w:p>
    <w:p w14:paraId="0842DB6B" w14:textId="77777777" w:rsidR="00AD3E4F" w:rsidRDefault="00AD3E4F">
      <w:pPr>
        <w:tabs>
          <w:tab w:val="left" w:pos="1296"/>
        </w:tabs>
        <w:jc w:val="both"/>
        <w:rPr>
          <w:szCs w:val="24"/>
        </w:rPr>
      </w:pPr>
    </w:p>
    <w:p w14:paraId="07E83E8A" w14:textId="77777777" w:rsidR="00AD3E4F" w:rsidRDefault="00AD3E4F">
      <w:pPr>
        <w:tabs>
          <w:tab w:val="left" w:pos="1296"/>
        </w:tabs>
        <w:jc w:val="both"/>
        <w:rPr>
          <w:szCs w:val="24"/>
        </w:rPr>
      </w:pPr>
    </w:p>
    <w:p w14:paraId="73B3DD1E" w14:textId="77777777" w:rsidR="00AD3E4F" w:rsidRDefault="00000000">
      <w:pPr>
        <w:tabs>
          <w:tab w:val="center" w:pos="-2268"/>
          <w:tab w:val="left" w:pos="6000"/>
          <w:tab w:val="right" w:pos="8306"/>
        </w:tabs>
        <w:ind w:firstLine="720"/>
        <w:jc w:val="both"/>
        <w:rPr>
          <w:szCs w:val="24"/>
        </w:rPr>
      </w:pPr>
      <w:r>
        <w:rPr>
          <w:szCs w:val="24"/>
        </w:rPr>
        <w:t xml:space="preserve">Pardavėjas </w:t>
      </w:r>
      <w:r>
        <w:rPr>
          <w:szCs w:val="24"/>
        </w:rPr>
        <w:tab/>
        <w:t xml:space="preserve">Pirkėjas </w:t>
      </w:r>
    </w:p>
    <w:sectPr w:rsidR="00AD3E4F">
      <w:headerReference w:type="even" r:id="rId6"/>
      <w:headerReference w:type="default" r:id="rId7"/>
      <w:footerReference w:type="even" r:id="rId8"/>
      <w:footerReference w:type="default" r:id="rId9"/>
      <w:headerReference w:type="first" r:id="rId10"/>
      <w:footerReference w:type="first" r:id="rId11"/>
      <w:pgSz w:w="11907" w:h="16839"/>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7ACF" w14:textId="77777777" w:rsidR="00853A9A" w:rsidRDefault="00853A9A">
      <w:r>
        <w:separator/>
      </w:r>
    </w:p>
  </w:endnote>
  <w:endnote w:type="continuationSeparator" w:id="0">
    <w:p w14:paraId="7D332897" w14:textId="77777777" w:rsidR="00853A9A" w:rsidRDefault="0085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AA65" w14:textId="77777777" w:rsidR="00AD3E4F" w:rsidRDefault="00AD3E4F">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EF90" w14:textId="77777777" w:rsidR="00AD3E4F" w:rsidRDefault="00AD3E4F">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F1D0" w14:textId="77777777" w:rsidR="00AD3E4F" w:rsidRDefault="00AD3E4F">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61D7" w14:textId="77777777" w:rsidR="00853A9A" w:rsidRDefault="00853A9A">
      <w:r>
        <w:separator/>
      </w:r>
    </w:p>
  </w:footnote>
  <w:footnote w:type="continuationSeparator" w:id="0">
    <w:p w14:paraId="26C3BE87" w14:textId="77777777" w:rsidR="00853A9A" w:rsidRDefault="0085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BB65" w14:textId="77777777" w:rsidR="00AD3E4F" w:rsidRDefault="0000000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5D3FF259" w14:textId="77777777" w:rsidR="00AD3E4F" w:rsidRDefault="00AD3E4F">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86B4" w14:textId="77777777" w:rsidR="00AD3E4F" w:rsidRDefault="00000000">
    <w:pPr>
      <w:pStyle w:val="Header"/>
      <w:jc w:val="center"/>
    </w:pPr>
    <w:r>
      <w:fldChar w:fldCharType="begin"/>
    </w:r>
    <w:r>
      <w:instrText>PAGE   \* MERGEFORMAT</w:instrText>
    </w:r>
    <w:r>
      <w:fldChar w:fldCharType="separate"/>
    </w:r>
    <w:r>
      <w:t>3</w:t>
    </w:r>
    <w:r>
      <w:fldChar w:fldCharType="end"/>
    </w:r>
  </w:p>
  <w:p w14:paraId="45A797B5" w14:textId="77777777" w:rsidR="00AD3E4F" w:rsidRDefault="00AD3E4F">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C57E" w14:textId="77777777" w:rsidR="00AD3E4F" w:rsidRDefault="00AD3E4F">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1296"/>
  <w:hyphenationZone w:val="396"/>
  <w:doNotHyphenateCaps/>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008"/>
    <w:rsid w:val="000F4A61"/>
    <w:rsid w:val="00724008"/>
    <w:rsid w:val="00853A9A"/>
    <w:rsid w:val="00AD3E4F"/>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B0BC"/>
  <w15:docId w15:val="{B2492D21-5DCC-4A54-A262-F2B87463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customStyle="1" w:styleId="bodytext">
    <w:name w:val="bodytext"/>
    <w:basedOn w:val="Normal"/>
    <w:pPr>
      <w:snapToGrid w:val="0"/>
      <w:ind w:firstLine="312"/>
      <w:jc w:val="both"/>
    </w:pPr>
    <w:rPr>
      <w:rFonts w:ascii="TimesLT" w:hAnsi="TimesLT"/>
      <w:sz w:val="20"/>
      <w:lang w:eastAsia="lt-LT"/>
    </w:rPr>
  </w:style>
  <w:style w:type="character" w:styleId="Hyperlink">
    <w:name w:val="Hyperlink"/>
    <w:basedOn w:val="DefaultParagraphFont"/>
    <w:rPr>
      <w:color w:val="0000FF" w:themeColor="hyperlink"/>
      <w:u w:val="single"/>
    </w:rPr>
  </w:style>
  <w:style w:type="paragraph" w:styleId="Header">
    <w:name w:val="header"/>
    <w:basedOn w:val="Normal"/>
    <w:link w:val="HeaderChar"/>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lang w:eastAsia="lt-LT"/>
    </w:rPr>
  </w:style>
  <w:style w:type="paragraph" w:styleId="ListParagraph">
    <w:name w:val="List Paragraph"/>
    <w:basedOn w:val="Normal"/>
    <w:rsid w:val="000F4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597717">
      <w:bodyDiv w:val="1"/>
      <w:marLeft w:val="0"/>
      <w:marRight w:val="0"/>
      <w:marTop w:val="0"/>
      <w:marBottom w:val="0"/>
      <w:divBdr>
        <w:top w:val="none" w:sz="0" w:space="0" w:color="auto"/>
        <w:left w:val="none" w:sz="0" w:space="0" w:color="auto"/>
        <w:bottom w:val="none" w:sz="0" w:space="0" w:color="auto"/>
        <w:right w:val="none" w:sz="0" w:space="0" w:color="auto"/>
      </w:divBdr>
    </w:div>
    <w:div w:id="198862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3942</Words>
  <Characters>2247</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LIETUVOS RESPUBLIKOS ŽEMĖS ŪKIO MINISTRAS</vt:lpstr>
    </vt:vector>
  </TitlesOfParts>
  <Company>Leksinova</Company>
  <LinksUpToDate>false</LinksUpToDate>
  <CharactersWithSpaces>6177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MINISTRAS</dc:title>
  <dc:creator>Algirdas Andrijauskas</dc:creator>
  <cp:lastModifiedBy>Žadvilė Abelienė</cp:lastModifiedBy>
  <cp:revision>2</cp:revision>
  <dcterms:created xsi:type="dcterms:W3CDTF">2023-04-11T07:44:00Z</dcterms:created>
  <dcterms:modified xsi:type="dcterms:W3CDTF">2023-04-11T07:44:00Z</dcterms:modified>
</cp:coreProperties>
</file>